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AD89" w14:textId="0C074CB9" w:rsidR="00E10BA2" w:rsidRPr="00501B3D" w:rsidRDefault="00F35CF4" w:rsidP="00E10BA2">
      <w:pPr>
        <w:pStyle w:val="ListParagraph"/>
        <w:rPr>
          <w:rFonts w:ascii="Times New Roman" w:hAnsi="Times New Roman" w:cs="Times New Roman"/>
          <w:b/>
          <w:sz w:val="28"/>
        </w:rPr>
      </w:pPr>
      <w:bookmarkStart w:id="0" w:name="_GoBack"/>
      <w:bookmarkEnd w:id="0"/>
      <w:r w:rsidRPr="00501B3D">
        <w:rPr>
          <w:rFonts w:ascii="Times New Roman" w:hAnsi="Times New Roman" w:cs="Times New Roman"/>
          <w:b/>
          <w:noProof/>
          <w:sz w:val="28"/>
          <w:lang w:eastAsia="lv-LV"/>
        </w:rPr>
        <w:drawing>
          <wp:anchor distT="0" distB="0" distL="114300" distR="114300" simplePos="0" relativeHeight="251658240" behindDoc="1" locked="0" layoutInCell="1" allowOverlap="1" wp14:anchorId="42CFB5BC" wp14:editId="03715D83">
            <wp:simplePos x="0" y="0"/>
            <wp:positionH relativeFrom="page">
              <wp:align>center</wp:align>
            </wp:positionH>
            <wp:positionV relativeFrom="paragraph">
              <wp:posOffset>-720090</wp:posOffset>
            </wp:positionV>
            <wp:extent cx="1958340" cy="2779326"/>
            <wp:effectExtent l="0" t="0" r="3810" b="2540"/>
            <wp:wrapNone/>
            <wp:docPr id="4" name="Picture 4" descr="S:\Vizuālā identitāte\28_identitate\28_jpg\28_horizontala_vienkarss_LV\divkrasu_rg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izuālā identitāte\28_identitate\28_jpg\28_horizontala_vienkarss_LV\divkrasu_rgb-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2779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6F767" w14:textId="6C314697" w:rsidR="00E10BA2" w:rsidRPr="00501B3D" w:rsidRDefault="00E10BA2">
      <w:pPr>
        <w:rPr>
          <w:rFonts w:ascii="Times New Roman" w:hAnsi="Times New Roman" w:cs="Times New Roman"/>
          <w:b/>
          <w:sz w:val="28"/>
        </w:rPr>
      </w:pPr>
    </w:p>
    <w:p w14:paraId="60C07E49" w14:textId="69EA343A" w:rsidR="00E10BA2" w:rsidRPr="00501B3D" w:rsidRDefault="00E10BA2">
      <w:pPr>
        <w:rPr>
          <w:rFonts w:ascii="Times New Roman" w:hAnsi="Times New Roman" w:cs="Times New Roman"/>
          <w:b/>
          <w:sz w:val="28"/>
        </w:rPr>
      </w:pPr>
    </w:p>
    <w:p w14:paraId="3A8AA683" w14:textId="35678A98" w:rsidR="00E10BA2" w:rsidRPr="00501B3D" w:rsidRDefault="00E10BA2">
      <w:pPr>
        <w:rPr>
          <w:rFonts w:ascii="Times New Roman" w:hAnsi="Times New Roman" w:cs="Times New Roman"/>
          <w:b/>
          <w:sz w:val="28"/>
        </w:rPr>
      </w:pPr>
    </w:p>
    <w:p w14:paraId="2233462A" w14:textId="3E22F0F7" w:rsidR="00E10BA2" w:rsidRPr="00501B3D" w:rsidRDefault="00E10BA2">
      <w:pPr>
        <w:rPr>
          <w:rFonts w:ascii="Times New Roman" w:hAnsi="Times New Roman" w:cs="Times New Roman"/>
          <w:b/>
          <w:sz w:val="28"/>
        </w:rPr>
      </w:pPr>
    </w:p>
    <w:p w14:paraId="199CA055" w14:textId="2C050DDD" w:rsidR="00E10BA2" w:rsidRPr="00501B3D" w:rsidRDefault="00E10BA2">
      <w:pPr>
        <w:rPr>
          <w:rFonts w:ascii="Times New Roman" w:hAnsi="Times New Roman" w:cs="Times New Roman"/>
          <w:b/>
          <w:sz w:val="28"/>
        </w:rPr>
      </w:pPr>
    </w:p>
    <w:p w14:paraId="5DBA5436" w14:textId="1A4AD4FF" w:rsidR="00E10BA2" w:rsidRPr="00501B3D" w:rsidRDefault="00E10BA2">
      <w:pPr>
        <w:rPr>
          <w:rFonts w:ascii="Times New Roman" w:hAnsi="Times New Roman" w:cs="Times New Roman"/>
          <w:b/>
          <w:sz w:val="28"/>
        </w:rPr>
      </w:pPr>
    </w:p>
    <w:p w14:paraId="2BF6D2D0" w14:textId="0A384843" w:rsidR="00E10BA2" w:rsidRPr="00501B3D" w:rsidRDefault="00E10BA2">
      <w:pPr>
        <w:rPr>
          <w:rFonts w:ascii="Times New Roman" w:hAnsi="Times New Roman" w:cs="Times New Roman"/>
          <w:b/>
          <w:sz w:val="28"/>
        </w:rPr>
      </w:pPr>
    </w:p>
    <w:p w14:paraId="20BFD313" w14:textId="05D097C0" w:rsidR="00E10BA2" w:rsidRPr="00501B3D" w:rsidRDefault="00E10BA2">
      <w:pPr>
        <w:rPr>
          <w:rFonts w:ascii="Times New Roman" w:hAnsi="Times New Roman" w:cs="Times New Roman"/>
          <w:b/>
          <w:sz w:val="28"/>
        </w:rPr>
      </w:pPr>
    </w:p>
    <w:p w14:paraId="4D063BE2" w14:textId="10FC79B0" w:rsidR="00E10BA2" w:rsidRPr="00501B3D" w:rsidRDefault="00E10BA2">
      <w:pPr>
        <w:rPr>
          <w:rFonts w:ascii="Times New Roman" w:hAnsi="Times New Roman" w:cs="Times New Roman"/>
          <w:b/>
          <w:sz w:val="28"/>
        </w:rPr>
      </w:pPr>
    </w:p>
    <w:p w14:paraId="20DF7F99" w14:textId="75B2940F" w:rsidR="00F35CF4" w:rsidRPr="00501B3D" w:rsidRDefault="00F35CF4">
      <w:pPr>
        <w:rPr>
          <w:rFonts w:ascii="Times New Roman" w:hAnsi="Times New Roman" w:cs="Times New Roman"/>
          <w:b/>
          <w:color w:val="1F3864" w:themeColor="accent5" w:themeShade="80"/>
          <w:sz w:val="40"/>
          <w:szCs w:val="40"/>
        </w:rPr>
      </w:pPr>
    </w:p>
    <w:p w14:paraId="7D1E34D7" w14:textId="06614459" w:rsidR="00F35CF4" w:rsidRPr="00501B3D" w:rsidRDefault="00F35CF4">
      <w:pPr>
        <w:rPr>
          <w:rFonts w:ascii="Times New Roman" w:hAnsi="Times New Roman" w:cs="Times New Roman"/>
          <w:b/>
          <w:color w:val="1F3864" w:themeColor="accent5" w:themeShade="80"/>
          <w:sz w:val="40"/>
          <w:szCs w:val="40"/>
        </w:rPr>
      </w:pPr>
    </w:p>
    <w:p w14:paraId="79EC5B44" w14:textId="5B85DD4E" w:rsidR="00E10BA2" w:rsidRPr="00501B3D" w:rsidRDefault="00E10BA2" w:rsidP="00F35CF4">
      <w:pPr>
        <w:spacing w:after="0" w:line="240" w:lineRule="auto"/>
        <w:jc w:val="center"/>
        <w:rPr>
          <w:rFonts w:ascii="Times New Roman" w:hAnsi="Times New Roman" w:cs="Times New Roman"/>
          <w:b/>
          <w:color w:val="1F3864" w:themeColor="accent5" w:themeShade="80"/>
          <w:sz w:val="56"/>
          <w:szCs w:val="56"/>
        </w:rPr>
      </w:pPr>
      <w:r w:rsidRPr="00501B3D">
        <w:rPr>
          <w:rFonts w:ascii="Times New Roman" w:hAnsi="Times New Roman" w:cs="Times New Roman"/>
          <w:b/>
          <w:color w:val="1F3864" w:themeColor="accent5" w:themeShade="80"/>
          <w:sz w:val="56"/>
          <w:szCs w:val="56"/>
        </w:rPr>
        <w:t>IEKŠLIETU MINISTRIJAS STRATĒĢIJA</w:t>
      </w:r>
    </w:p>
    <w:p w14:paraId="274EDBAA" w14:textId="3FBE4620" w:rsidR="00F35CF4" w:rsidRPr="00501B3D" w:rsidRDefault="00F35CF4" w:rsidP="00F35CF4">
      <w:pPr>
        <w:spacing w:after="0" w:line="240" w:lineRule="auto"/>
        <w:rPr>
          <w:rFonts w:ascii="Times New Roman" w:hAnsi="Times New Roman" w:cs="Times New Roman"/>
          <w:b/>
          <w:color w:val="1F3864" w:themeColor="accent5" w:themeShade="80"/>
          <w:sz w:val="56"/>
          <w:szCs w:val="56"/>
        </w:rPr>
      </w:pPr>
      <w:r w:rsidRPr="00501B3D">
        <w:rPr>
          <w:rFonts w:ascii="Times New Roman" w:hAnsi="Times New Roman" w:cs="Times New Roman"/>
          <w:b/>
          <w:noProof/>
          <w:color w:val="4472C4" w:themeColor="accent5"/>
          <w:sz w:val="56"/>
          <w:szCs w:val="56"/>
          <w:lang w:eastAsia="lv-LV"/>
        </w:rPr>
        <mc:AlternateContent>
          <mc:Choice Requires="wps">
            <w:drawing>
              <wp:anchor distT="0" distB="0" distL="114300" distR="114300" simplePos="0" relativeHeight="251659264" behindDoc="0" locked="0" layoutInCell="1" allowOverlap="1" wp14:anchorId="4FB67881" wp14:editId="325DA226">
                <wp:simplePos x="0" y="0"/>
                <wp:positionH relativeFrom="page">
                  <wp:align>center</wp:align>
                </wp:positionH>
                <wp:positionV relativeFrom="paragraph">
                  <wp:posOffset>215265</wp:posOffset>
                </wp:positionV>
                <wp:extent cx="5791200" cy="45719"/>
                <wp:effectExtent l="0" t="0" r="19050" b="12065"/>
                <wp:wrapNone/>
                <wp:docPr id="5" name="Rectangle 5"/>
                <wp:cNvGraphicFramePr/>
                <a:graphic xmlns:a="http://schemas.openxmlformats.org/drawingml/2006/main">
                  <a:graphicData uri="http://schemas.microsoft.com/office/word/2010/wordprocessingShape">
                    <wps:wsp>
                      <wps:cNvSpPr/>
                      <wps:spPr>
                        <a:xfrm>
                          <a:off x="0" y="0"/>
                          <a:ext cx="5791200" cy="45719"/>
                        </a:xfrm>
                        <a:prstGeom prst="rect">
                          <a:avLst/>
                        </a:prstGeom>
                        <a:ln>
                          <a:solidFill>
                            <a:schemeClr val="accent1">
                              <a:lumMod val="75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0CF0995E" id="Rectangle 5" o:spid="_x0000_s1026" style="position:absolute;margin-left:0;margin-top:16.95pt;width:456pt;height:3.6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" fillcolor="#4472c4 [3208]" strokecolor="#2e74b5 [2404]" strokeweight="1pt">
                <w10:wrap anchorx="page"/>
              </v:rect>
            </w:pict>
          </mc:Fallback>
        </mc:AlternateContent>
      </w:r>
    </w:p>
    <w:p w14:paraId="5BBDF8DA" w14:textId="01C49281" w:rsidR="00E10BA2" w:rsidRPr="00501B3D" w:rsidRDefault="00E10BA2" w:rsidP="00F35CF4">
      <w:pPr>
        <w:spacing w:after="0" w:line="240" w:lineRule="auto"/>
        <w:jc w:val="center"/>
        <w:rPr>
          <w:rFonts w:ascii="Times New Roman" w:hAnsi="Times New Roman" w:cs="Times New Roman"/>
          <w:b/>
          <w:color w:val="1F3864" w:themeColor="accent5" w:themeShade="80"/>
          <w:sz w:val="56"/>
          <w:szCs w:val="56"/>
        </w:rPr>
      </w:pPr>
      <w:r w:rsidRPr="00501B3D">
        <w:rPr>
          <w:rFonts w:ascii="Times New Roman" w:hAnsi="Times New Roman" w:cs="Times New Roman"/>
          <w:b/>
          <w:color w:val="1F3864" w:themeColor="accent5" w:themeShade="80"/>
          <w:sz w:val="56"/>
          <w:szCs w:val="56"/>
        </w:rPr>
        <w:t>2023.-2027. GADAM</w:t>
      </w:r>
    </w:p>
    <w:p w14:paraId="0B0178BA" w14:textId="55BB8CA4" w:rsidR="00E10BA2" w:rsidRPr="00501B3D" w:rsidRDefault="00E10BA2">
      <w:pPr>
        <w:rPr>
          <w:rFonts w:ascii="Times New Roman" w:hAnsi="Times New Roman" w:cs="Times New Roman"/>
          <w:b/>
          <w:sz w:val="28"/>
        </w:rPr>
      </w:pPr>
    </w:p>
    <w:p w14:paraId="6D75AA81" w14:textId="50E8EE09" w:rsidR="00E10BA2" w:rsidRPr="00501B3D" w:rsidRDefault="00E10BA2">
      <w:pPr>
        <w:rPr>
          <w:rFonts w:ascii="Times New Roman" w:hAnsi="Times New Roman" w:cs="Times New Roman"/>
          <w:b/>
          <w:sz w:val="28"/>
        </w:rPr>
      </w:pPr>
    </w:p>
    <w:p w14:paraId="63D7991F" w14:textId="5497AD67" w:rsidR="00E10BA2" w:rsidRPr="00501B3D" w:rsidRDefault="00E10BA2">
      <w:pPr>
        <w:rPr>
          <w:rFonts w:ascii="Times New Roman" w:hAnsi="Times New Roman" w:cs="Times New Roman"/>
          <w:b/>
          <w:sz w:val="28"/>
        </w:rPr>
      </w:pPr>
    </w:p>
    <w:p w14:paraId="10AF0AC8" w14:textId="33B3389E" w:rsidR="00E10BA2" w:rsidRPr="00501B3D" w:rsidRDefault="00E10BA2">
      <w:pPr>
        <w:rPr>
          <w:rFonts w:ascii="Times New Roman" w:hAnsi="Times New Roman" w:cs="Times New Roman"/>
          <w:b/>
          <w:sz w:val="28"/>
        </w:rPr>
      </w:pPr>
    </w:p>
    <w:p w14:paraId="04055F1B" w14:textId="23E2EEEC" w:rsidR="00E10BA2" w:rsidRPr="00501B3D" w:rsidRDefault="00E10BA2">
      <w:pPr>
        <w:rPr>
          <w:rFonts w:ascii="Times New Roman" w:hAnsi="Times New Roman" w:cs="Times New Roman"/>
          <w:b/>
          <w:sz w:val="28"/>
        </w:rPr>
      </w:pPr>
    </w:p>
    <w:p w14:paraId="06D1B558" w14:textId="5A12A68E" w:rsidR="00E10BA2" w:rsidRPr="00501B3D" w:rsidRDefault="00E10BA2">
      <w:pPr>
        <w:rPr>
          <w:rFonts w:ascii="Times New Roman" w:hAnsi="Times New Roman" w:cs="Times New Roman"/>
          <w:b/>
          <w:sz w:val="28"/>
        </w:rPr>
      </w:pPr>
    </w:p>
    <w:p w14:paraId="5DCBFA13" w14:textId="51BB6817" w:rsidR="00E10BA2" w:rsidRPr="00501B3D" w:rsidRDefault="00E10BA2">
      <w:pPr>
        <w:rPr>
          <w:rFonts w:ascii="Times New Roman" w:hAnsi="Times New Roman" w:cs="Times New Roman"/>
          <w:b/>
          <w:sz w:val="28"/>
        </w:rPr>
      </w:pPr>
    </w:p>
    <w:p w14:paraId="638C5E32" w14:textId="2E9DA2A0" w:rsidR="00E10BA2" w:rsidRPr="00501B3D" w:rsidRDefault="00E10BA2">
      <w:pPr>
        <w:rPr>
          <w:rFonts w:ascii="Times New Roman" w:hAnsi="Times New Roman" w:cs="Times New Roman"/>
          <w:b/>
          <w:sz w:val="28"/>
        </w:rPr>
      </w:pPr>
    </w:p>
    <w:p w14:paraId="0C15FE86" w14:textId="60C22823" w:rsidR="00E10BA2" w:rsidRPr="00501B3D" w:rsidRDefault="00E10BA2">
      <w:pPr>
        <w:rPr>
          <w:rFonts w:ascii="Times New Roman" w:hAnsi="Times New Roman" w:cs="Times New Roman"/>
          <w:b/>
          <w:sz w:val="28"/>
        </w:rPr>
      </w:pPr>
    </w:p>
    <w:p w14:paraId="189A09A3" w14:textId="54BCB79A" w:rsidR="00F35CF4" w:rsidRPr="00501B3D" w:rsidRDefault="00F35CF4">
      <w:pPr>
        <w:rPr>
          <w:rFonts w:ascii="Times New Roman" w:hAnsi="Times New Roman" w:cs="Times New Roman"/>
          <w:b/>
          <w:sz w:val="28"/>
        </w:rPr>
      </w:pPr>
    </w:p>
    <w:p w14:paraId="74FD457C" w14:textId="0D2F8524" w:rsidR="00631F10" w:rsidRPr="00501B3D" w:rsidRDefault="002F0A4C" w:rsidP="00BB476E">
      <w:pPr>
        <w:rPr>
          <w:rFonts w:ascii="Times New Roman" w:hAnsi="Times New Roman" w:cs="Times New Roman"/>
          <w:b/>
          <w:sz w:val="28"/>
        </w:rPr>
      </w:pPr>
      <w:r w:rsidRPr="00501B3D">
        <w:rPr>
          <w:rFonts w:ascii="Times New Roman" w:hAnsi="Times New Roman" w:cs="Times New Roman"/>
          <w:b/>
          <w:noProof/>
          <w:sz w:val="28"/>
          <w:lang w:eastAsia="lv-LV"/>
        </w:rPr>
        <mc:AlternateContent>
          <mc:Choice Requires="wps">
            <w:drawing>
              <wp:anchor distT="0" distB="0" distL="114300" distR="114300" simplePos="0" relativeHeight="251660288" behindDoc="0" locked="0" layoutInCell="1" allowOverlap="1" wp14:anchorId="7E14B472" wp14:editId="4376F53C">
                <wp:simplePos x="0" y="0"/>
                <wp:positionH relativeFrom="column">
                  <wp:posOffset>-1072515</wp:posOffset>
                </wp:positionH>
                <wp:positionV relativeFrom="paragraph">
                  <wp:posOffset>652780</wp:posOffset>
                </wp:positionV>
                <wp:extent cx="7559040" cy="3962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7559040" cy="396240"/>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6360ADC" id="Rectangle 11" o:spid="_x0000_s1026" style="position:absolute;margin-left:-84.45pt;margin-top:51.4pt;width:595.2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" fillcolor="#1f3763 [1608]" strokecolor="#1f3763 [1608]" strokeweight="1pt"/>
            </w:pict>
          </mc:Fallback>
        </mc:AlternateContent>
      </w:r>
    </w:p>
    <w:sdt>
      <w:sdtPr>
        <w:rPr>
          <w:rFonts w:ascii="Times New Roman" w:eastAsiaTheme="minorHAnsi" w:hAnsi="Times New Roman" w:cs="Times New Roman"/>
          <w:color w:val="auto"/>
          <w:sz w:val="22"/>
          <w:szCs w:val="22"/>
          <w:lang w:val="lv-LV"/>
        </w:rPr>
        <w:id w:val="211538183"/>
        <w:docPartObj>
          <w:docPartGallery w:val="Table of Contents"/>
          <w:docPartUnique/>
        </w:docPartObj>
      </w:sdtPr>
      <w:sdtEndPr>
        <w:rPr>
          <w:b/>
          <w:bCs/>
          <w:noProof/>
        </w:rPr>
      </w:sdtEndPr>
      <w:sdtContent>
        <w:p w14:paraId="125C03FF" w14:textId="2B555DE6" w:rsidR="00631F10" w:rsidRPr="00501B3D" w:rsidRDefault="00631F10" w:rsidP="00631F10">
          <w:pPr>
            <w:pStyle w:val="TOCHeading"/>
            <w:jc w:val="center"/>
            <w:rPr>
              <w:rFonts w:ascii="Times New Roman" w:hAnsi="Times New Roman" w:cs="Times New Roman"/>
              <w:b/>
              <w:color w:val="1F3864" w:themeColor="accent5" w:themeShade="80"/>
            </w:rPr>
          </w:pPr>
          <w:r w:rsidRPr="00501B3D">
            <w:rPr>
              <w:rFonts w:ascii="Times New Roman" w:hAnsi="Times New Roman" w:cs="Times New Roman"/>
              <w:b/>
              <w:color w:val="1F3864" w:themeColor="accent5" w:themeShade="80"/>
            </w:rPr>
            <w:t>SATURS</w:t>
          </w:r>
        </w:p>
        <w:p w14:paraId="05000F3C" w14:textId="77777777" w:rsidR="00A61119" w:rsidRPr="00501B3D" w:rsidRDefault="00A61119" w:rsidP="00A61119">
          <w:pPr>
            <w:rPr>
              <w:rFonts w:ascii="Times New Roman" w:hAnsi="Times New Roman" w:cs="Times New Roman"/>
              <w:lang w:val="en-US"/>
            </w:rPr>
          </w:pPr>
        </w:p>
        <w:p w14:paraId="57B9C587" w14:textId="530493C1" w:rsidR="000531B3" w:rsidRPr="00501B3D" w:rsidRDefault="00631F10">
          <w:pPr>
            <w:pStyle w:val="TOC1"/>
            <w:tabs>
              <w:tab w:val="left" w:pos="440"/>
              <w:tab w:val="right" w:leader="dot" w:pos="9061"/>
            </w:tabs>
            <w:rPr>
              <w:rFonts w:ascii="Times New Roman" w:eastAsiaTheme="minorEastAsia" w:hAnsi="Times New Roman" w:cs="Times New Roman"/>
              <w:noProof/>
              <w:sz w:val="24"/>
              <w:szCs w:val="24"/>
              <w:lang w:eastAsia="lv-LV"/>
            </w:rPr>
          </w:pPr>
          <w:r w:rsidRPr="00501B3D">
            <w:rPr>
              <w:rFonts w:ascii="Times New Roman" w:hAnsi="Times New Roman" w:cs="Times New Roman"/>
              <w:sz w:val="24"/>
              <w:szCs w:val="24"/>
            </w:rPr>
            <w:fldChar w:fldCharType="begin"/>
          </w:r>
          <w:r w:rsidRPr="00501B3D">
            <w:rPr>
              <w:rFonts w:ascii="Times New Roman" w:hAnsi="Times New Roman" w:cs="Times New Roman"/>
              <w:sz w:val="24"/>
              <w:szCs w:val="24"/>
            </w:rPr>
            <w:instrText xml:space="preserve"> TOC \o "1-3" \h \z \u </w:instrText>
          </w:r>
          <w:r w:rsidRPr="00501B3D">
            <w:rPr>
              <w:rFonts w:ascii="Times New Roman" w:hAnsi="Times New Roman" w:cs="Times New Roman"/>
              <w:sz w:val="24"/>
              <w:szCs w:val="24"/>
            </w:rPr>
            <w:fldChar w:fldCharType="separate"/>
          </w:r>
          <w:hyperlink w:anchor="_Toc118192600" w:history="1">
            <w:r w:rsidR="000531B3" w:rsidRPr="00501B3D">
              <w:rPr>
                <w:rStyle w:val="Hyperlink"/>
                <w:rFonts w:ascii="Times New Roman" w:hAnsi="Times New Roman" w:cs="Times New Roman"/>
                <w:noProof/>
                <w:sz w:val="24"/>
                <w:szCs w:val="24"/>
              </w:rPr>
              <w:t>1.</w:t>
            </w:r>
            <w:r w:rsidR="00A61119" w:rsidRPr="00501B3D">
              <w:rPr>
                <w:rFonts w:ascii="Times New Roman" w:eastAsiaTheme="minorEastAsia" w:hAnsi="Times New Roman" w:cs="Times New Roman"/>
                <w:noProof/>
                <w:sz w:val="24"/>
                <w:szCs w:val="24"/>
                <w:lang w:eastAsia="lv-LV"/>
              </w:rPr>
              <w:t> </w:t>
            </w:r>
            <w:r w:rsidR="000531B3" w:rsidRPr="00501B3D">
              <w:rPr>
                <w:rStyle w:val="Hyperlink"/>
                <w:rFonts w:ascii="Times New Roman" w:hAnsi="Times New Roman" w:cs="Times New Roman"/>
                <w:noProof/>
                <w:sz w:val="24"/>
                <w:szCs w:val="24"/>
              </w:rPr>
              <w:t>Ievads</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_Toc118192600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3</w:t>
            </w:r>
            <w:r w:rsidR="000531B3" w:rsidRPr="00501B3D">
              <w:rPr>
                <w:rFonts w:ascii="Times New Roman" w:hAnsi="Times New Roman" w:cs="Times New Roman"/>
                <w:noProof/>
                <w:webHidden/>
                <w:sz w:val="24"/>
                <w:szCs w:val="24"/>
              </w:rPr>
              <w:fldChar w:fldCharType="end"/>
            </w:r>
          </w:hyperlink>
        </w:p>
        <w:p w14:paraId="3B1CCB86" w14:textId="46A2F6AC" w:rsidR="000531B3" w:rsidRPr="00501B3D" w:rsidRDefault="00405BDA" w:rsidP="00A61119">
          <w:pPr>
            <w:pStyle w:val="TOC2"/>
            <w:tabs>
              <w:tab w:val="left" w:pos="880"/>
              <w:tab w:val="right" w:leader="dot" w:pos="9061"/>
            </w:tabs>
            <w:rPr>
              <w:rFonts w:ascii="Times New Roman" w:eastAsiaTheme="minorEastAsia" w:hAnsi="Times New Roman" w:cs="Times New Roman"/>
              <w:noProof/>
              <w:sz w:val="24"/>
              <w:szCs w:val="24"/>
              <w:lang w:eastAsia="lv-LV"/>
            </w:rPr>
          </w:pPr>
          <w:hyperlink w:anchor="_Toc118192601" w:history="1">
            <w:r w:rsidR="000531B3" w:rsidRPr="00501B3D">
              <w:rPr>
                <w:rStyle w:val="Hyperlink"/>
                <w:rFonts w:ascii="Times New Roman" w:hAnsi="Times New Roman" w:cs="Times New Roman"/>
                <w:noProof/>
                <w:sz w:val="24"/>
                <w:szCs w:val="24"/>
              </w:rPr>
              <w:t>1.1.</w:t>
            </w:r>
            <w:r w:rsidR="00A61119" w:rsidRPr="00501B3D">
              <w:rPr>
                <w:rFonts w:ascii="Times New Roman" w:eastAsiaTheme="minorEastAsia" w:hAnsi="Times New Roman" w:cs="Times New Roman"/>
                <w:noProof/>
                <w:sz w:val="24"/>
                <w:szCs w:val="24"/>
                <w:lang w:eastAsia="lv-LV"/>
              </w:rPr>
              <w:t> </w:t>
            </w:r>
            <w:r w:rsidR="000531B3" w:rsidRPr="00501B3D">
              <w:rPr>
                <w:rStyle w:val="Hyperlink"/>
                <w:rFonts w:ascii="Times New Roman" w:hAnsi="Times New Roman" w:cs="Times New Roman"/>
                <w:noProof/>
                <w:sz w:val="24"/>
                <w:szCs w:val="24"/>
              </w:rPr>
              <w:t>Vispārīgā daļa</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_Toc118192601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4</w:t>
            </w:r>
            <w:r w:rsidR="000531B3" w:rsidRPr="00501B3D">
              <w:rPr>
                <w:rFonts w:ascii="Times New Roman" w:hAnsi="Times New Roman" w:cs="Times New Roman"/>
                <w:noProof/>
                <w:webHidden/>
                <w:sz w:val="24"/>
                <w:szCs w:val="24"/>
              </w:rPr>
              <w:fldChar w:fldCharType="end"/>
            </w:r>
          </w:hyperlink>
        </w:p>
        <w:p w14:paraId="5AB89B3C" w14:textId="6759F89B" w:rsidR="000531B3" w:rsidRPr="00501B3D" w:rsidRDefault="00405BDA">
          <w:pPr>
            <w:pStyle w:val="TOC2"/>
            <w:tabs>
              <w:tab w:val="left" w:pos="880"/>
              <w:tab w:val="right" w:leader="dot" w:pos="9061"/>
            </w:tabs>
            <w:rPr>
              <w:rFonts w:ascii="Times New Roman" w:eastAsiaTheme="minorEastAsia" w:hAnsi="Times New Roman" w:cs="Times New Roman"/>
              <w:noProof/>
              <w:sz w:val="24"/>
              <w:szCs w:val="24"/>
              <w:lang w:eastAsia="lv-LV"/>
            </w:rPr>
          </w:pPr>
          <w:hyperlink w:anchor="_Toc118192605" w:history="1">
            <w:r w:rsidR="000531B3" w:rsidRPr="00501B3D">
              <w:rPr>
                <w:rStyle w:val="Hyperlink"/>
                <w:rFonts w:ascii="Times New Roman" w:hAnsi="Times New Roman" w:cs="Times New Roman"/>
                <w:noProof/>
                <w:sz w:val="24"/>
                <w:szCs w:val="24"/>
              </w:rPr>
              <w:t>1.2.</w:t>
            </w:r>
            <w:r w:rsidR="00A61119" w:rsidRPr="00501B3D">
              <w:rPr>
                <w:rFonts w:ascii="Times New Roman" w:eastAsiaTheme="minorEastAsia" w:hAnsi="Times New Roman" w:cs="Times New Roman"/>
                <w:noProof/>
                <w:sz w:val="24"/>
                <w:szCs w:val="24"/>
                <w:lang w:eastAsia="lv-LV"/>
              </w:rPr>
              <w:t> </w:t>
            </w:r>
            <w:r w:rsidR="000531B3" w:rsidRPr="00501B3D">
              <w:rPr>
                <w:rStyle w:val="Hyperlink"/>
                <w:rFonts w:ascii="Times New Roman" w:hAnsi="Times New Roman" w:cs="Times New Roman"/>
                <w:noProof/>
                <w:sz w:val="24"/>
                <w:szCs w:val="24"/>
              </w:rPr>
              <w:t>Iekšlietu ministrijas mērķgrupas</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_Toc118192605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5</w:t>
            </w:r>
            <w:r w:rsidR="000531B3" w:rsidRPr="00501B3D">
              <w:rPr>
                <w:rFonts w:ascii="Times New Roman" w:hAnsi="Times New Roman" w:cs="Times New Roman"/>
                <w:noProof/>
                <w:webHidden/>
                <w:sz w:val="24"/>
                <w:szCs w:val="24"/>
              </w:rPr>
              <w:fldChar w:fldCharType="end"/>
            </w:r>
          </w:hyperlink>
        </w:p>
        <w:p w14:paraId="7728388A" w14:textId="3CAD22EC" w:rsidR="000531B3" w:rsidRPr="00501B3D" w:rsidRDefault="00405BDA">
          <w:pPr>
            <w:pStyle w:val="TOC1"/>
            <w:tabs>
              <w:tab w:val="right" w:leader="dot" w:pos="9061"/>
            </w:tabs>
            <w:rPr>
              <w:rFonts w:ascii="Times New Roman" w:eastAsiaTheme="minorEastAsia" w:hAnsi="Times New Roman" w:cs="Times New Roman"/>
              <w:noProof/>
              <w:sz w:val="24"/>
              <w:szCs w:val="24"/>
              <w:lang w:eastAsia="lv-LV"/>
            </w:rPr>
          </w:pPr>
          <w:hyperlink w:anchor="_Toc118192606" w:history="1">
            <w:r w:rsidR="000531B3" w:rsidRPr="00501B3D">
              <w:rPr>
                <w:rStyle w:val="Hyperlink"/>
                <w:rFonts w:ascii="Times New Roman" w:hAnsi="Times New Roman" w:cs="Times New Roman"/>
                <w:noProof/>
                <w:sz w:val="24"/>
                <w:szCs w:val="24"/>
              </w:rPr>
              <w:t>2. Stratēģiskā prioritāte Nr. 1: Lietderīgi, efektīvi un digitāli iekšējie procesi</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_Toc118192606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6</w:t>
            </w:r>
            <w:r w:rsidR="000531B3" w:rsidRPr="00501B3D">
              <w:rPr>
                <w:rFonts w:ascii="Times New Roman" w:hAnsi="Times New Roman" w:cs="Times New Roman"/>
                <w:noProof/>
                <w:webHidden/>
                <w:sz w:val="24"/>
                <w:szCs w:val="24"/>
              </w:rPr>
              <w:fldChar w:fldCharType="end"/>
            </w:r>
          </w:hyperlink>
        </w:p>
        <w:p w14:paraId="5D0E0DFA" w14:textId="6454BD69" w:rsidR="000531B3" w:rsidRPr="00501B3D" w:rsidRDefault="00405BDA">
          <w:pPr>
            <w:pStyle w:val="TOC1"/>
            <w:tabs>
              <w:tab w:val="right" w:leader="dot" w:pos="9061"/>
            </w:tabs>
            <w:rPr>
              <w:rFonts w:ascii="Times New Roman" w:eastAsiaTheme="minorEastAsia" w:hAnsi="Times New Roman" w:cs="Times New Roman"/>
              <w:noProof/>
              <w:sz w:val="24"/>
              <w:szCs w:val="24"/>
              <w:lang w:eastAsia="lv-LV"/>
            </w:rPr>
          </w:pPr>
          <w:hyperlink w:anchor="_Toc118192607" w:history="1">
            <w:r w:rsidR="000531B3" w:rsidRPr="00501B3D">
              <w:rPr>
                <w:rStyle w:val="Hyperlink"/>
                <w:rFonts w:ascii="Times New Roman" w:hAnsi="Times New Roman" w:cs="Times New Roman"/>
                <w:noProof/>
                <w:sz w:val="24"/>
                <w:szCs w:val="24"/>
              </w:rPr>
              <w:t>3. Stratēģiskā prioritāte Nr. 2: Motivēti un kvalificēti nodarbinātie</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_Toc118192607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11</w:t>
            </w:r>
            <w:r w:rsidR="000531B3" w:rsidRPr="00501B3D">
              <w:rPr>
                <w:rFonts w:ascii="Times New Roman" w:hAnsi="Times New Roman" w:cs="Times New Roman"/>
                <w:noProof/>
                <w:webHidden/>
                <w:sz w:val="24"/>
                <w:szCs w:val="24"/>
              </w:rPr>
              <w:fldChar w:fldCharType="end"/>
            </w:r>
          </w:hyperlink>
        </w:p>
        <w:p w14:paraId="7F3B15CB" w14:textId="4B98BB36" w:rsidR="000531B3" w:rsidRPr="00501B3D" w:rsidRDefault="00405BDA">
          <w:pPr>
            <w:pStyle w:val="TOC1"/>
            <w:tabs>
              <w:tab w:val="left" w:pos="440"/>
              <w:tab w:val="right" w:leader="dot" w:pos="9061"/>
            </w:tabs>
            <w:rPr>
              <w:rFonts w:ascii="Times New Roman" w:eastAsiaTheme="minorEastAsia" w:hAnsi="Times New Roman" w:cs="Times New Roman"/>
              <w:noProof/>
              <w:sz w:val="24"/>
              <w:szCs w:val="24"/>
              <w:lang w:eastAsia="lv-LV"/>
            </w:rPr>
          </w:pPr>
          <w:hyperlink w:anchor="_Toc118192608" w:history="1">
            <w:r w:rsidR="000531B3" w:rsidRPr="00501B3D">
              <w:rPr>
                <w:rStyle w:val="Hyperlink"/>
                <w:rFonts w:ascii="Times New Roman" w:hAnsi="Times New Roman" w:cs="Times New Roman"/>
                <w:noProof/>
                <w:sz w:val="24"/>
                <w:szCs w:val="24"/>
              </w:rPr>
              <w:t>4.</w:t>
            </w:r>
            <w:r w:rsidR="00A61119" w:rsidRPr="00501B3D">
              <w:rPr>
                <w:rFonts w:ascii="Times New Roman" w:eastAsiaTheme="minorEastAsia" w:hAnsi="Times New Roman" w:cs="Times New Roman"/>
                <w:noProof/>
                <w:sz w:val="24"/>
                <w:szCs w:val="24"/>
                <w:lang w:eastAsia="lv-LV"/>
              </w:rPr>
              <w:t> </w:t>
            </w:r>
            <w:r w:rsidR="000531B3" w:rsidRPr="00501B3D">
              <w:rPr>
                <w:rStyle w:val="Hyperlink"/>
                <w:rFonts w:ascii="Times New Roman" w:hAnsi="Times New Roman" w:cs="Times New Roman"/>
                <w:noProof/>
                <w:sz w:val="24"/>
                <w:szCs w:val="24"/>
              </w:rPr>
              <w:t>Iestādes resursu analīze</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_Toc118192608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15</w:t>
            </w:r>
            <w:r w:rsidR="000531B3" w:rsidRPr="00501B3D">
              <w:rPr>
                <w:rFonts w:ascii="Times New Roman" w:hAnsi="Times New Roman" w:cs="Times New Roman"/>
                <w:noProof/>
                <w:webHidden/>
                <w:sz w:val="24"/>
                <w:szCs w:val="24"/>
              </w:rPr>
              <w:fldChar w:fldCharType="end"/>
            </w:r>
          </w:hyperlink>
        </w:p>
        <w:p w14:paraId="18C0151E" w14:textId="14F0E50B" w:rsidR="000531B3" w:rsidRPr="00501B3D" w:rsidRDefault="00405BDA">
          <w:pPr>
            <w:pStyle w:val="TOC2"/>
            <w:tabs>
              <w:tab w:val="right" w:leader="dot" w:pos="9061"/>
            </w:tabs>
            <w:rPr>
              <w:rFonts w:ascii="Times New Roman" w:eastAsiaTheme="minorEastAsia" w:hAnsi="Times New Roman" w:cs="Times New Roman"/>
              <w:noProof/>
              <w:sz w:val="24"/>
              <w:szCs w:val="24"/>
              <w:lang w:eastAsia="lv-LV"/>
            </w:rPr>
          </w:pPr>
          <w:hyperlink w:anchor="_Toc118192609" w:history="1">
            <w:r w:rsidR="000531B3" w:rsidRPr="00501B3D">
              <w:rPr>
                <w:rStyle w:val="Hyperlink"/>
                <w:rFonts w:ascii="Times New Roman" w:hAnsi="Times New Roman" w:cs="Times New Roman"/>
                <w:noProof/>
                <w:sz w:val="24"/>
                <w:szCs w:val="24"/>
              </w:rPr>
              <w:t>4.1. Būtiskākās strukturālās reformas, optimizācijas vai reorganizācijas pasākumi</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_Toc118192609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16</w:t>
            </w:r>
            <w:r w:rsidR="000531B3" w:rsidRPr="00501B3D">
              <w:rPr>
                <w:rFonts w:ascii="Times New Roman" w:hAnsi="Times New Roman" w:cs="Times New Roman"/>
                <w:noProof/>
                <w:webHidden/>
                <w:sz w:val="24"/>
                <w:szCs w:val="24"/>
              </w:rPr>
              <w:fldChar w:fldCharType="end"/>
            </w:r>
          </w:hyperlink>
        </w:p>
        <w:p w14:paraId="1BF6E9DB" w14:textId="20C05E79" w:rsidR="000531B3" w:rsidRPr="00501B3D" w:rsidRDefault="00405BDA">
          <w:pPr>
            <w:pStyle w:val="TOC1"/>
            <w:tabs>
              <w:tab w:val="left" w:pos="440"/>
              <w:tab w:val="right" w:leader="dot" w:pos="9061"/>
            </w:tabs>
            <w:rPr>
              <w:rFonts w:ascii="Times New Roman" w:eastAsiaTheme="minorEastAsia" w:hAnsi="Times New Roman" w:cs="Times New Roman"/>
              <w:noProof/>
              <w:sz w:val="24"/>
              <w:szCs w:val="24"/>
              <w:lang w:eastAsia="lv-LV"/>
            </w:rPr>
          </w:pPr>
          <w:hyperlink w:anchor="_Toc118192610" w:history="1">
            <w:r w:rsidR="00501B3D">
              <w:rPr>
                <w:rStyle w:val="Hyperlink"/>
                <w:rFonts w:ascii="Times New Roman" w:hAnsi="Times New Roman" w:cs="Times New Roman"/>
                <w:noProof/>
                <w:sz w:val="24"/>
                <w:szCs w:val="24"/>
              </w:rPr>
              <w:t>5</w:t>
            </w:r>
            <w:r w:rsidR="000531B3" w:rsidRPr="00501B3D">
              <w:rPr>
                <w:rStyle w:val="Hyperlink"/>
                <w:rFonts w:ascii="Times New Roman" w:hAnsi="Times New Roman" w:cs="Times New Roman"/>
                <w:noProof/>
                <w:sz w:val="24"/>
                <w:szCs w:val="24"/>
              </w:rPr>
              <w:t>.</w:t>
            </w:r>
            <w:r w:rsidR="00A61119" w:rsidRPr="00501B3D">
              <w:rPr>
                <w:rFonts w:ascii="Times New Roman" w:eastAsiaTheme="minorEastAsia" w:hAnsi="Times New Roman" w:cs="Times New Roman"/>
                <w:noProof/>
                <w:sz w:val="24"/>
                <w:szCs w:val="24"/>
                <w:lang w:eastAsia="lv-LV"/>
              </w:rPr>
              <w:t> </w:t>
            </w:r>
            <w:r w:rsidR="000531B3" w:rsidRPr="00501B3D">
              <w:rPr>
                <w:rStyle w:val="Hyperlink"/>
                <w:rFonts w:ascii="Times New Roman" w:hAnsi="Times New Roman" w:cs="Times New Roman"/>
                <w:noProof/>
                <w:sz w:val="24"/>
                <w:szCs w:val="24"/>
              </w:rPr>
              <w:t>SVID analīze</w:t>
            </w:r>
            <w:r w:rsidR="000531B3" w:rsidRPr="00501B3D">
              <w:rPr>
                <w:rFonts w:ascii="Times New Roman" w:hAnsi="Times New Roman" w:cs="Times New Roman"/>
                <w:noProof/>
                <w:webHidden/>
                <w:sz w:val="24"/>
                <w:szCs w:val="24"/>
              </w:rPr>
              <w:tab/>
            </w:r>
            <w:r w:rsidR="000531B3" w:rsidRPr="00501B3D">
              <w:rPr>
                <w:rFonts w:ascii="Times New Roman" w:hAnsi="Times New Roman" w:cs="Times New Roman"/>
                <w:noProof/>
                <w:webHidden/>
                <w:sz w:val="24"/>
                <w:szCs w:val="24"/>
              </w:rPr>
              <w:fldChar w:fldCharType="begin"/>
            </w:r>
            <w:r w:rsidR="000531B3" w:rsidRPr="00501B3D">
              <w:rPr>
                <w:rFonts w:ascii="Times New Roman" w:hAnsi="Times New Roman" w:cs="Times New Roman"/>
                <w:noProof/>
                <w:webHidden/>
                <w:sz w:val="24"/>
                <w:szCs w:val="24"/>
              </w:rPr>
              <w:instrText xml:space="preserve"> PAGEREF _Toc118192610 \h </w:instrText>
            </w:r>
            <w:r w:rsidR="000531B3" w:rsidRPr="00501B3D">
              <w:rPr>
                <w:rFonts w:ascii="Times New Roman" w:hAnsi="Times New Roman" w:cs="Times New Roman"/>
                <w:noProof/>
                <w:webHidden/>
                <w:sz w:val="24"/>
                <w:szCs w:val="24"/>
              </w:rPr>
            </w:r>
            <w:r w:rsidR="000531B3" w:rsidRPr="00501B3D">
              <w:rPr>
                <w:rFonts w:ascii="Times New Roman" w:hAnsi="Times New Roman" w:cs="Times New Roman"/>
                <w:noProof/>
                <w:webHidden/>
                <w:sz w:val="24"/>
                <w:szCs w:val="24"/>
              </w:rPr>
              <w:fldChar w:fldCharType="separate"/>
            </w:r>
            <w:r w:rsidR="00501B3D">
              <w:rPr>
                <w:rFonts w:ascii="Times New Roman" w:hAnsi="Times New Roman" w:cs="Times New Roman"/>
                <w:noProof/>
                <w:webHidden/>
                <w:sz w:val="24"/>
                <w:szCs w:val="24"/>
              </w:rPr>
              <w:t>19</w:t>
            </w:r>
            <w:r w:rsidR="000531B3" w:rsidRPr="00501B3D">
              <w:rPr>
                <w:rFonts w:ascii="Times New Roman" w:hAnsi="Times New Roman" w:cs="Times New Roman"/>
                <w:noProof/>
                <w:webHidden/>
                <w:sz w:val="24"/>
                <w:szCs w:val="24"/>
              </w:rPr>
              <w:fldChar w:fldCharType="end"/>
            </w:r>
          </w:hyperlink>
        </w:p>
        <w:p w14:paraId="6F120083" w14:textId="31759F9F" w:rsidR="00631F10" w:rsidRPr="00501B3D" w:rsidRDefault="00631F10">
          <w:pPr>
            <w:rPr>
              <w:rFonts w:ascii="Times New Roman" w:hAnsi="Times New Roman" w:cs="Times New Roman"/>
            </w:rPr>
          </w:pPr>
          <w:r w:rsidRPr="00501B3D">
            <w:rPr>
              <w:rFonts w:ascii="Times New Roman" w:hAnsi="Times New Roman" w:cs="Times New Roman"/>
              <w:b/>
              <w:bCs/>
              <w:noProof/>
              <w:sz w:val="24"/>
              <w:szCs w:val="24"/>
            </w:rPr>
            <w:fldChar w:fldCharType="end"/>
          </w:r>
        </w:p>
      </w:sdtContent>
    </w:sdt>
    <w:p w14:paraId="1B70C8B6" w14:textId="77777777" w:rsidR="00631F10" w:rsidRPr="00501B3D" w:rsidRDefault="00631F10" w:rsidP="00631F10">
      <w:pPr>
        <w:pStyle w:val="ListParagraph"/>
        <w:jc w:val="both"/>
        <w:outlineLvl w:val="0"/>
        <w:rPr>
          <w:rFonts w:ascii="Times New Roman" w:hAnsi="Times New Roman" w:cs="Times New Roman"/>
          <w:b/>
          <w:sz w:val="32"/>
          <w:szCs w:val="32"/>
        </w:rPr>
      </w:pPr>
    </w:p>
    <w:p w14:paraId="54C65251" w14:textId="5F3B0889" w:rsidR="00631F10" w:rsidRPr="00501B3D" w:rsidRDefault="00631F10" w:rsidP="00631F10">
      <w:pPr>
        <w:pStyle w:val="ListParagraph"/>
        <w:outlineLvl w:val="0"/>
        <w:rPr>
          <w:rFonts w:ascii="Times New Roman" w:hAnsi="Times New Roman" w:cs="Times New Roman"/>
          <w:b/>
          <w:sz w:val="28"/>
        </w:rPr>
      </w:pPr>
    </w:p>
    <w:p w14:paraId="76C35FA2" w14:textId="4D436AEF" w:rsidR="00631F10" w:rsidRPr="00501B3D" w:rsidRDefault="00631F10" w:rsidP="00631F10">
      <w:pPr>
        <w:pStyle w:val="ListParagraph"/>
        <w:outlineLvl w:val="0"/>
        <w:rPr>
          <w:rFonts w:ascii="Times New Roman" w:hAnsi="Times New Roman" w:cs="Times New Roman"/>
          <w:b/>
          <w:sz w:val="28"/>
        </w:rPr>
      </w:pPr>
    </w:p>
    <w:p w14:paraId="2E6A33B5" w14:textId="0FD51B15" w:rsidR="00631F10" w:rsidRPr="00501B3D" w:rsidRDefault="00631F10" w:rsidP="00631F10">
      <w:pPr>
        <w:pStyle w:val="ListParagraph"/>
        <w:outlineLvl w:val="0"/>
        <w:rPr>
          <w:rFonts w:ascii="Times New Roman" w:hAnsi="Times New Roman" w:cs="Times New Roman"/>
          <w:b/>
          <w:sz w:val="28"/>
        </w:rPr>
      </w:pPr>
    </w:p>
    <w:p w14:paraId="7D7CBCA2" w14:textId="31D146B8" w:rsidR="00631F10" w:rsidRPr="00501B3D" w:rsidRDefault="00631F10" w:rsidP="00631F10">
      <w:pPr>
        <w:pStyle w:val="ListParagraph"/>
        <w:outlineLvl w:val="0"/>
        <w:rPr>
          <w:rFonts w:ascii="Times New Roman" w:hAnsi="Times New Roman" w:cs="Times New Roman"/>
          <w:b/>
          <w:sz w:val="28"/>
        </w:rPr>
      </w:pPr>
    </w:p>
    <w:p w14:paraId="4492DD3B" w14:textId="6D618CA2" w:rsidR="00631F10" w:rsidRPr="00501B3D" w:rsidRDefault="00631F10" w:rsidP="00631F10">
      <w:pPr>
        <w:pStyle w:val="ListParagraph"/>
        <w:outlineLvl w:val="0"/>
        <w:rPr>
          <w:rFonts w:ascii="Times New Roman" w:hAnsi="Times New Roman" w:cs="Times New Roman"/>
          <w:b/>
          <w:sz w:val="28"/>
        </w:rPr>
      </w:pPr>
    </w:p>
    <w:p w14:paraId="525D2141" w14:textId="4628932D" w:rsidR="00631F10" w:rsidRPr="00501B3D" w:rsidRDefault="00631F10" w:rsidP="00631F10">
      <w:pPr>
        <w:pStyle w:val="ListParagraph"/>
        <w:outlineLvl w:val="0"/>
        <w:rPr>
          <w:rFonts w:ascii="Times New Roman" w:hAnsi="Times New Roman" w:cs="Times New Roman"/>
          <w:b/>
          <w:sz w:val="28"/>
        </w:rPr>
      </w:pPr>
    </w:p>
    <w:p w14:paraId="1DA2F36D" w14:textId="5F09B12C" w:rsidR="00631F10" w:rsidRPr="00501B3D" w:rsidRDefault="00631F10" w:rsidP="00631F10">
      <w:pPr>
        <w:pStyle w:val="ListParagraph"/>
        <w:outlineLvl w:val="0"/>
        <w:rPr>
          <w:rFonts w:ascii="Times New Roman" w:hAnsi="Times New Roman" w:cs="Times New Roman"/>
          <w:b/>
          <w:sz w:val="28"/>
        </w:rPr>
      </w:pPr>
    </w:p>
    <w:p w14:paraId="11DEDF6C" w14:textId="34492E1D" w:rsidR="00631F10" w:rsidRPr="00501B3D" w:rsidRDefault="00631F10" w:rsidP="00631F10">
      <w:pPr>
        <w:pStyle w:val="ListParagraph"/>
        <w:outlineLvl w:val="0"/>
        <w:rPr>
          <w:rFonts w:ascii="Times New Roman" w:hAnsi="Times New Roman" w:cs="Times New Roman"/>
          <w:b/>
          <w:sz w:val="28"/>
        </w:rPr>
      </w:pPr>
    </w:p>
    <w:p w14:paraId="767AE5F9" w14:textId="1F0AA7EE" w:rsidR="00631F10" w:rsidRPr="00501B3D" w:rsidRDefault="00631F10" w:rsidP="00631F10">
      <w:pPr>
        <w:pStyle w:val="ListParagraph"/>
        <w:outlineLvl w:val="0"/>
        <w:rPr>
          <w:rFonts w:ascii="Times New Roman" w:hAnsi="Times New Roman" w:cs="Times New Roman"/>
          <w:b/>
          <w:sz w:val="28"/>
        </w:rPr>
      </w:pPr>
    </w:p>
    <w:p w14:paraId="76D9228F" w14:textId="6B06B2D7" w:rsidR="00631F10" w:rsidRPr="00501B3D" w:rsidRDefault="00631F10" w:rsidP="00631F10">
      <w:pPr>
        <w:pStyle w:val="ListParagraph"/>
        <w:outlineLvl w:val="0"/>
        <w:rPr>
          <w:rFonts w:ascii="Times New Roman" w:hAnsi="Times New Roman" w:cs="Times New Roman"/>
          <w:b/>
          <w:sz w:val="28"/>
        </w:rPr>
      </w:pPr>
    </w:p>
    <w:p w14:paraId="7B07DC4F" w14:textId="16036B72" w:rsidR="00631F10" w:rsidRPr="00501B3D" w:rsidRDefault="00631F10" w:rsidP="00631F10">
      <w:pPr>
        <w:pStyle w:val="ListParagraph"/>
        <w:outlineLvl w:val="0"/>
        <w:rPr>
          <w:rFonts w:ascii="Times New Roman" w:hAnsi="Times New Roman" w:cs="Times New Roman"/>
          <w:b/>
          <w:sz w:val="28"/>
        </w:rPr>
      </w:pPr>
    </w:p>
    <w:p w14:paraId="1C3DBB26" w14:textId="2310E74A" w:rsidR="00631F10" w:rsidRPr="00501B3D" w:rsidRDefault="00631F10" w:rsidP="00631F10">
      <w:pPr>
        <w:pStyle w:val="ListParagraph"/>
        <w:outlineLvl w:val="0"/>
        <w:rPr>
          <w:rFonts w:ascii="Times New Roman" w:hAnsi="Times New Roman" w:cs="Times New Roman"/>
          <w:b/>
          <w:sz w:val="28"/>
        </w:rPr>
      </w:pPr>
    </w:p>
    <w:p w14:paraId="5A85D341" w14:textId="0F053ECE" w:rsidR="00631F10" w:rsidRPr="00501B3D" w:rsidRDefault="00631F10" w:rsidP="00631F10">
      <w:pPr>
        <w:pStyle w:val="ListParagraph"/>
        <w:outlineLvl w:val="0"/>
        <w:rPr>
          <w:rFonts w:ascii="Times New Roman" w:hAnsi="Times New Roman" w:cs="Times New Roman"/>
          <w:b/>
          <w:sz w:val="28"/>
        </w:rPr>
      </w:pPr>
    </w:p>
    <w:p w14:paraId="5747116B" w14:textId="4850779D" w:rsidR="00631F10" w:rsidRPr="00501B3D" w:rsidRDefault="00631F10" w:rsidP="00631F10">
      <w:pPr>
        <w:pStyle w:val="ListParagraph"/>
        <w:outlineLvl w:val="0"/>
        <w:rPr>
          <w:rFonts w:ascii="Times New Roman" w:hAnsi="Times New Roman" w:cs="Times New Roman"/>
          <w:b/>
          <w:sz w:val="28"/>
        </w:rPr>
      </w:pPr>
    </w:p>
    <w:p w14:paraId="64FDB202" w14:textId="50009902" w:rsidR="00631F10" w:rsidRPr="00501B3D" w:rsidRDefault="00631F10" w:rsidP="00631F10">
      <w:pPr>
        <w:outlineLvl w:val="0"/>
        <w:rPr>
          <w:rFonts w:ascii="Times New Roman" w:hAnsi="Times New Roman" w:cs="Times New Roman"/>
          <w:b/>
          <w:sz w:val="28"/>
        </w:rPr>
      </w:pPr>
    </w:p>
    <w:p w14:paraId="11488C07" w14:textId="3AD6D56B" w:rsidR="00631F10" w:rsidRPr="00501B3D" w:rsidRDefault="00631F10" w:rsidP="00631F10">
      <w:pPr>
        <w:pStyle w:val="ListParagraph"/>
        <w:outlineLvl w:val="0"/>
        <w:rPr>
          <w:rFonts w:ascii="Times New Roman" w:hAnsi="Times New Roman" w:cs="Times New Roman"/>
          <w:b/>
          <w:sz w:val="28"/>
        </w:rPr>
      </w:pPr>
    </w:p>
    <w:p w14:paraId="5EC62AD5" w14:textId="791FF647" w:rsidR="00631F10" w:rsidRPr="00501B3D" w:rsidRDefault="00631F10" w:rsidP="00631F10">
      <w:pPr>
        <w:pStyle w:val="ListParagraph"/>
        <w:outlineLvl w:val="0"/>
        <w:rPr>
          <w:rFonts w:ascii="Times New Roman" w:hAnsi="Times New Roman" w:cs="Times New Roman"/>
          <w:b/>
          <w:sz w:val="28"/>
        </w:rPr>
      </w:pPr>
    </w:p>
    <w:p w14:paraId="5A37F9C0" w14:textId="77777777" w:rsidR="00631F10" w:rsidRPr="00501B3D" w:rsidRDefault="00631F10" w:rsidP="00631F10">
      <w:pPr>
        <w:pStyle w:val="ListParagraph"/>
        <w:outlineLvl w:val="0"/>
        <w:rPr>
          <w:rFonts w:ascii="Times New Roman" w:hAnsi="Times New Roman" w:cs="Times New Roman"/>
          <w:b/>
          <w:sz w:val="28"/>
        </w:rPr>
      </w:pPr>
    </w:p>
    <w:p w14:paraId="663BDB25" w14:textId="3006792D" w:rsidR="00631F10" w:rsidRPr="00501B3D" w:rsidRDefault="00631F10" w:rsidP="002F0A4C">
      <w:pPr>
        <w:outlineLvl w:val="0"/>
        <w:rPr>
          <w:rFonts w:ascii="Times New Roman" w:hAnsi="Times New Roman" w:cs="Times New Roman"/>
          <w:b/>
          <w:sz w:val="28"/>
        </w:rPr>
      </w:pPr>
    </w:p>
    <w:p w14:paraId="03638972" w14:textId="28010F19" w:rsidR="00BB476E" w:rsidRPr="00501B3D" w:rsidRDefault="00BB476E" w:rsidP="002F0A4C">
      <w:pPr>
        <w:outlineLvl w:val="0"/>
        <w:rPr>
          <w:rFonts w:ascii="Times New Roman" w:hAnsi="Times New Roman" w:cs="Times New Roman"/>
          <w:b/>
          <w:sz w:val="28"/>
        </w:rPr>
      </w:pPr>
    </w:p>
    <w:p w14:paraId="4BACE974" w14:textId="37149B85" w:rsidR="00A61119" w:rsidRPr="00501B3D" w:rsidRDefault="00A61119" w:rsidP="002F0A4C">
      <w:pPr>
        <w:outlineLvl w:val="0"/>
        <w:rPr>
          <w:rFonts w:ascii="Times New Roman" w:hAnsi="Times New Roman" w:cs="Times New Roman"/>
          <w:b/>
          <w:sz w:val="28"/>
        </w:rPr>
      </w:pPr>
    </w:p>
    <w:p w14:paraId="2C9EFE22" w14:textId="3EAB37A7" w:rsidR="00A61119" w:rsidRPr="00501B3D" w:rsidRDefault="00A61119" w:rsidP="002F0A4C">
      <w:pPr>
        <w:outlineLvl w:val="0"/>
        <w:rPr>
          <w:rFonts w:ascii="Times New Roman" w:hAnsi="Times New Roman" w:cs="Times New Roman"/>
          <w:b/>
          <w:sz w:val="28"/>
        </w:rPr>
      </w:pPr>
    </w:p>
    <w:p w14:paraId="51109AB0" w14:textId="415E44B1" w:rsidR="00631F10" w:rsidRPr="00501B3D" w:rsidRDefault="00631F10" w:rsidP="002F0A4C">
      <w:pPr>
        <w:outlineLvl w:val="0"/>
        <w:rPr>
          <w:rFonts w:ascii="Times New Roman" w:hAnsi="Times New Roman" w:cs="Times New Roman"/>
          <w:b/>
          <w:sz w:val="28"/>
        </w:rPr>
      </w:pPr>
    </w:p>
    <w:p w14:paraId="343004BF" w14:textId="0AC873CC" w:rsidR="00D14DBC" w:rsidRPr="00501B3D" w:rsidRDefault="00A44EAB" w:rsidP="00F35CF4">
      <w:pPr>
        <w:pStyle w:val="ListParagraph"/>
        <w:numPr>
          <w:ilvl w:val="0"/>
          <w:numId w:val="16"/>
        </w:numPr>
        <w:jc w:val="center"/>
        <w:outlineLvl w:val="0"/>
        <w:rPr>
          <w:rFonts w:ascii="Times New Roman" w:hAnsi="Times New Roman" w:cs="Times New Roman"/>
          <w:b/>
          <w:color w:val="1F3864" w:themeColor="accent5" w:themeShade="80"/>
          <w:sz w:val="32"/>
          <w:szCs w:val="32"/>
        </w:rPr>
      </w:pPr>
      <w:bookmarkStart w:id="1" w:name="_Toc118192600"/>
      <w:r w:rsidRPr="00501B3D">
        <w:rPr>
          <w:rFonts w:ascii="Times New Roman" w:hAnsi="Times New Roman" w:cs="Times New Roman"/>
          <w:b/>
          <w:color w:val="1F3864" w:themeColor="accent5" w:themeShade="80"/>
          <w:sz w:val="32"/>
          <w:szCs w:val="32"/>
        </w:rPr>
        <w:lastRenderedPageBreak/>
        <w:t>Ie</w:t>
      </w:r>
      <w:r w:rsidR="009455C9" w:rsidRPr="00501B3D">
        <w:rPr>
          <w:rFonts w:ascii="Times New Roman" w:hAnsi="Times New Roman" w:cs="Times New Roman"/>
          <w:b/>
          <w:color w:val="1F3864" w:themeColor="accent5" w:themeShade="80"/>
          <w:sz w:val="32"/>
          <w:szCs w:val="32"/>
        </w:rPr>
        <w:t>vads</w:t>
      </w:r>
      <w:bookmarkEnd w:id="1"/>
    </w:p>
    <w:p w14:paraId="470F16B3" w14:textId="77777777" w:rsidR="009455C9" w:rsidRPr="00501B3D" w:rsidRDefault="009455C9" w:rsidP="009455C9">
      <w:pPr>
        <w:pStyle w:val="ListParagraph"/>
        <w:outlineLvl w:val="0"/>
        <w:rPr>
          <w:rFonts w:ascii="Times New Roman" w:hAnsi="Times New Roman" w:cs="Times New Roman"/>
          <w:b/>
          <w:color w:val="1F3864" w:themeColor="accent5" w:themeShade="80"/>
          <w:sz w:val="28"/>
        </w:rPr>
      </w:pPr>
    </w:p>
    <w:p w14:paraId="66B0A5F8" w14:textId="391AE42D" w:rsidR="00B86C8F" w:rsidRPr="00501B3D" w:rsidRDefault="00DB0D78" w:rsidP="009455C9">
      <w:pPr>
        <w:spacing w:after="0" w:line="360" w:lineRule="auto"/>
        <w:ind w:firstLine="720"/>
        <w:jc w:val="both"/>
        <w:rPr>
          <w:rFonts w:ascii="Times New Roman" w:hAnsi="Times New Roman" w:cs="Times New Roman"/>
          <w:sz w:val="24"/>
        </w:rPr>
      </w:pPr>
      <w:r w:rsidRPr="00501B3D">
        <w:rPr>
          <w:rFonts w:ascii="Times New Roman" w:hAnsi="Times New Roman" w:cs="Times New Roman"/>
          <w:sz w:val="24"/>
        </w:rPr>
        <w:t>Iekšlietu ministrijas</w:t>
      </w:r>
      <w:r w:rsidR="00617703" w:rsidRPr="00501B3D">
        <w:rPr>
          <w:rFonts w:ascii="Times New Roman" w:hAnsi="Times New Roman" w:cs="Times New Roman"/>
          <w:sz w:val="24"/>
        </w:rPr>
        <w:t xml:space="preserve"> (turpmāk – Ministrija)</w:t>
      </w:r>
      <w:r w:rsidRPr="00501B3D">
        <w:rPr>
          <w:rFonts w:ascii="Times New Roman" w:hAnsi="Times New Roman" w:cs="Times New Roman"/>
          <w:sz w:val="24"/>
        </w:rPr>
        <w:t xml:space="preserve"> darbības stratēģija 2023.-2027. gadam (turpmāk – Stratēģija) </w:t>
      </w:r>
      <w:r w:rsidR="006E01B7" w:rsidRPr="00501B3D">
        <w:rPr>
          <w:rFonts w:ascii="Times New Roman" w:hAnsi="Times New Roman" w:cs="Times New Roman"/>
          <w:sz w:val="24"/>
        </w:rPr>
        <w:t>veidota, par pamatu</w:t>
      </w:r>
      <w:r w:rsidR="00AA32E5" w:rsidRPr="00501B3D">
        <w:rPr>
          <w:rFonts w:ascii="Times New Roman" w:hAnsi="Times New Roman" w:cs="Times New Roman"/>
          <w:sz w:val="24"/>
        </w:rPr>
        <w:t xml:space="preserve"> izmantojot Eiropas Komisijas Strukturālo reformu at</w:t>
      </w:r>
      <w:r w:rsidR="00A7068D" w:rsidRPr="00501B3D">
        <w:rPr>
          <w:rFonts w:ascii="Times New Roman" w:hAnsi="Times New Roman" w:cs="Times New Roman"/>
          <w:sz w:val="24"/>
        </w:rPr>
        <w:t>balsta</w:t>
      </w:r>
      <w:r w:rsidR="00AA32E5" w:rsidRPr="00501B3D">
        <w:rPr>
          <w:rFonts w:ascii="Times New Roman" w:hAnsi="Times New Roman" w:cs="Times New Roman"/>
          <w:sz w:val="24"/>
        </w:rPr>
        <w:t xml:space="preserve"> programmas projekta “Iekšlietu nozares iestāžu efektivitātes paaugstināšana”</w:t>
      </w:r>
      <w:r w:rsidR="00617703" w:rsidRPr="00501B3D">
        <w:rPr>
          <w:rFonts w:ascii="Times New Roman" w:hAnsi="Times New Roman" w:cs="Times New Roman"/>
          <w:sz w:val="24"/>
        </w:rPr>
        <w:t xml:space="preserve"> trešā posma ietvaros izstrādāto</w:t>
      </w:r>
      <w:r w:rsidR="00AA32E5" w:rsidRPr="00501B3D">
        <w:rPr>
          <w:rFonts w:ascii="Times New Roman" w:hAnsi="Times New Roman" w:cs="Times New Roman"/>
          <w:sz w:val="24"/>
        </w:rPr>
        <w:t xml:space="preserve"> iekšlietu nozares stratēģiskās plānošanas modeli, kā arī ņemot vērā Ministru kabineta 2022. gada 1. februāra instrukcijā Nr. 1 "Kārtība, kādā izstrādā un aktualizē institūcijas darbības stratēģiju un novērtē tās ieviešanu" noteikto.</w:t>
      </w:r>
    </w:p>
    <w:p w14:paraId="33782141" w14:textId="4CAAE107" w:rsidR="00F1116A" w:rsidRPr="00501B3D" w:rsidRDefault="006E01B7" w:rsidP="009455C9">
      <w:pPr>
        <w:spacing w:after="0" w:line="360" w:lineRule="auto"/>
        <w:ind w:firstLine="720"/>
        <w:jc w:val="both"/>
        <w:rPr>
          <w:rFonts w:ascii="Times New Roman" w:hAnsi="Times New Roman" w:cs="Times New Roman"/>
          <w:sz w:val="24"/>
        </w:rPr>
      </w:pPr>
      <w:r w:rsidRPr="00501B3D">
        <w:rPr>
          <w:rFonts w:ascii="Times New Roman" w:hAnsi="Times New Roman" w:cs="Times New Roman"/>
          <w:sz w:val="24"/>
        </w:rPr>
        <w:t>Saturiski Stratēģijā tiek nodrošināta sasaiste ar Iekšlietu nozares 2023.-2027. gadam stratēģiju</w:t>
      </w:r>
      <w:r w:rsidR="00617703" w:rsidRPr="00501B3D">
        <w:rPr>
          <w:rFonts w:ascii="Times New Roman" w:hAnsi="Times New Roman" w:cs="Times New Roman"/>
          <w:sz w:val="24"/>
        </w:rPr>
        <w:t xml:space="preserve"> (turpmāk – Nozares stratēģija)</w:t>
      </w:r>
      <w:r w:rsidRPr="00501B3D">
        <w:rPr>
          <w:rStyle w:val="FootnoteReference"/>
          <w:rFonts w:ascii="Times New Roman" w:hAnsi="Times New Roman" w:cs="Times New Roman"/>
          <w:sz w:val="24"/>
        </w:rPr>
        <w:footnoteReference w:id="1"/>
      </w:r>
      <w:r w:rsidR="00617703" w:rsidRPr="00501B3D">
        <w:rPr>
          <w:rFonts w:ascii="Times New Roman" w:hAnsi="Times New Roman" w:cs="Times New Roman"/>
          <w:sz w:val="24"/>
        </w:rPr>
        <w:t>. Stratēģijā noteiktās stratēģiskās prioritātes</w:t>
      </w:r>
      <w:r w:rsidR="00E50CC0" w:rsidRPr="00501B3D">
        <w:rPr>
          <w:rFonts w:ascii="Times New Roman" w:hAnsi="Times New Roman" w:cs="Times New Roman"/>
          <w:sz w:val="24"/>
        </w:rPr>
        <w:t>,</w:t>
      </w:r>
      <w:r w:rsidR="00617703" w:rsidRPr="00501B3D">
        <w:rPr>
          <w:rFonts w:ascii="Times New Roman" w:hAnsi="Times New Roman" w:cs="Times New Roman"/>
          <w:sz w:val="24"/>
        </w:rPr>
        <w:t xml:space="preserve"> ar tām saistītie mērķi, galvenie snieguma rādītāji un iniciatīvas ir definētas ar mērķi Ministrijai veikt pasākumus, kas veicinātu Nozares stratēģijā noteikto mērķu sasniegšanu.</w:t>
      </w:r>
      <w:r w:rsidR="00F1116A" w:rsidRPr="00501B3D">
        <w:rPr>
          <w:rFonts w:ascii="Times New Roman" w:hAnsi="Times New Roman" w:cs="Times New Roman"/>
          <w:sz w:val="24"/>
        </w:rPr>
        <w:t xml:space="preserve"> </w:t>
      </w:r>
    </w:p>
    <w:p w14:paraId="41267284" w14:textId="70050097" w:rsidR="002D7E40" w:rsidRPr="00501B3D" w:rsidRDefault="00F1116A" w:rsidP="009455C9">
      <w:pPr>
        <w:spacing w:after="0" w:line="360" w:lineRule="auto"/>
        <w:ind w:firstLine="720"/>
        <w:jc w:val="both"/>
        <w:rPr>
          <w:rFonts w:ascii="Times New Roman" w:hAnsi="Times New Roman" w:cs="Times New Roman"/>
          <w:sz w:val="24"/>
        </w:rPr>
      </w:pPr>
      <w:r w:rsidRPr="00501B3D">
        <w:rPr>
          <w:rFonts w:ascii="Times New Roman" w:hAnsi="Times New Roman" w:cs="Times New Roman"/>
          <w:sz w:val="24"/>
        </w:rPr>
        <w:t>Vienlaikus jāvērš uzmanība, ka Stratēģija ir uz attīstību vērsts dokuments, kura funkcija ir stiprināt Ministrijas kā iestādes spējas un resursus.</w:t>
      </w:r>
      <w:r w:rsidR="00537AE0" w:rsidRPr="00501B3D">
        <w:rPr>
          <w:rFonts w:ascii="Times New Roman" w:hAnsi="Times New Roman" w:cs="Times New Roman"/>
          <w:sz w:val="24"/>
        </w:rPr>
        <w:t xml:space="preserve"> Stratēģijas virsmērķis ir nodroš</w:t>
      </w:r>
      <w:r w:rsidR="00ED5950" w:rsidRPr="00501B3D">
        <w:rPr>
          <w:rFonts w:ascii="Times New Roman" w:hAnsi="Times New Roman" w:cs="Times New Roman"/>
          <w:sz w:val="24"/>
        </w:rPr>
        <w:t>ināt kvalitatīvu un modernu pārv</w:t>
      </w:r>
      <w:r w:rsidR="00537AE0" w:rsidRPr="00501B3D">
        <w:rPr>
          <w:rFonts w:ascii="Times New Roman" w:hAnsi="Times New Roman" w:cs="Times New Roman"/>
          <w:sz w:val="24"/>
        </w:rPr>
        <w:t xml:space="preserve">aldību Ministrijā, </w:t>
      </w:r>
      <w:r w:rsidR="00026219" w:rsidRPr="00501B3D">
        <w:rPr>
          <w:rFonts w:ascii="Times New Roman" w:hAnsi="Times New Roman" w:cs="Times New Roman"/>
          <w:sz w:val="24"/>
        </w:rPr>
        <w:t>kam būtu pozitīva ietekme uz pārvaldības efektivitāti</w:t>
      </w:r>
      <w:r w:rsidR="00537AE0" w:rsidRPr="00501B3D">
        <w:rPr>
          <w:rFonts w:ascii="Times New Roman" w:hAnsi="Times New Roman" w:cs="Times New Roman"/>
          <w:sz w:val="24"/>
        </w:rPr>
        <w:t xml:space="preserve"> visā iekšlietu nozarē.</w:t>
      </w:r>
      <w:r w:rsidRPr="00501B3D">
        <w:rPr>
          <w:rFonts w:ascii="Times New Roman" w:hAnsi="Times New Roman" w:cs="Times New Roman"/>
          <w:sz w:val="24"/>
        </w:rPr>
        <w:t xml:space="preserve"> Līdz ar to Stratēģija nedublē Ministrijas vai tās struktūrvienību reglamentos definēto pamatfunkciju izpildi, bet nosaka konkrētus uz attīstību un Ministrijas izaugsmi orientētus mērķus </w:t>
      </w:r>
      <w:r w:rsidR="003940DC" w:rsidRPr="00501B3D">
        <w:rPr>
          <w:rFonts w:ascii="Times New Roman" w:hAnsi="Times New Roman" w:cs="Times New Roman"/>
          <w:sz w:val="24"/>
        </w:rPr>
        <w:t>un ar tiem saistītos uzdevumus.</w:t>
      </w:r>
    </w:p>
    <w:p w14:paraId="0AF49CCA" w14:textId="3910BD99" w:rsidR="009455C9" w:rsidRPr="00501B3D" w:rsidRDefault="009455C9" w:rsidP="003940DC">
      <w:pPr>
        <w:spacing w:after="0" w:line="276" w:lineRule="auto"/>
        <w:ind w:firstLine="720"/>
        <w:jc w:val="both"/>
        <w:rPr>
          <w:rFonts w:ascii="Times New Roman" w:hAnsi="Times New Roman" w:cs="Times New Roman"/>
          <w:sz w:val="24"/>
        </w:rPr>
      </w:pPr>
    </w:p>
    <w:p w14:paraId="5246687A" w14:textId="0C780ECD" w:rsidR="009455C9" w:rsidRPr="00501B3D" w:rsidRDefault="009455C9" w:rsidP="003940DC">
      <w:pPr>
        <w:spacing w:after="0" w:line="276" w:lineRule="auto"/>
        <w:ind w:firstLine="720"/>
        <w:jc w:val="both"/>
        <w:rPr>
          <w:rFonts w:ascii="Times New Roman" w:hAnsi="Times New Roman" w:cs="Times New Roman"/>
          <w:sz w:val="24"/>
        </w:rPr>
      </w:pPr>
    </w:p>
    <w:p w14:paraId="74DC829F" w14:textId="68D5625D" w:rsidR="009455C9" w:rsidRPr="00501B3D" w:rsidRDefault="009455C9" w:rsidP="003940DC">
      <w:pPr>
        <w:spacing w:after="0" w:line="276" w:lineRule="auto"/>
        <w:ind w:firstLine="720"/>
        <w:jc w:val="both"/>
        <w:rPr>
          <w:rFonts w:ascii="Times New Roman" w:hAnsi="Times New Roman" w:cs="Times New Roman"/>
          <w:sz w:val="24"/>
        </w:rPr>
      </w:pPr>
    </w:p>
    <w:p w14:paraId="5D2B7F1F" w14:textId="1D0A9ACC" w:rsidR="009455C9" w:rsidRPr="00501B3D" w:rsidRDefault="009455C9" w:rsidP="003940DC">
      <w:pPr>
        <w:spacing w:after="0" w:line="276" w:lineRule="auto"/>
        <w:ind w:firstLine="720"/>
        <w:jc w:val="both"/>
        <w:rPr>
          <w:rFonts w:ascii="Times New Roman" w:hAnsi="Times New Roman" w:cs="Times New Roman"/>
          <w:sz w:val="24"/>
        </w:rPr>
      </w:pPr>
    </w:p>
    <w:p w14:paraId="3AE13B8F" w14:textId="7C5B40D7" w:rsidR="009455C9" w:rsidRPr="00501B3D" w:rsidRDefault="009455C9" w:rsidP="003940DC">
      <w:pPr>
        <w:spacing w:after="0" w:line="276" w:lineRule="auto"/>
        <w:ind w:firstLine="720"/>
        <w:jc w:val="both"/>
        <w:rPr>
          <w:rFonts w:ascii="Times New Roman" w:hAnsi="Times New Roman" w:cs="Times New Roman"/>
          <w:sz w:val="24"/>
        </w:rPr>
      </w:pPr>
    </w:p>
    <w:p w14:paraId="53D37E4D" w14:textId="1C50EDD0" w:rsidR="009455C9" w:rsidRPr="00501B3D" w:rsidRDefault="009455C9" w:rsidP="003940DC">
      <w:pPr>
        <w:spacing w:after="0" w:line="276" w:lineRule="auto"/>
        <w:ind w:firstLine="720"/>
        <w:jc w:val="both"/>
        <w:rPr>
          <w:rFonts w:ascii="Times New Roman" w:hAnsi="Times New Roman" w:cs="Times New Roman"/>
          <w:sz w:val="24"/>
        </w:rPr>
      </w:pPr>
    </w:p>
    <w:p w14:paraId="67BFFEA1" w14:textId="682EEE07" w:rsidR="009455C9" w:rsidRPr="00501B3D" w:rsidRDefault="009455C9" w:rsidP="003940DC">
      <w:pPr>
        <w:spacing w:after="0" w:line="276" w:lineRule="auto"/>
        <w:ind w:firstLine="720"/>
        <w:jc w:val="both"/>
        <w:rPr>
          <w:rFonts w:ascii="Times New Roman" w:hAnsi="Times New Roman" w:cs="Times New Roman"/>
          <w:sz w:val="24"/>
        </w:rPr>
      </w:pPr>
    </w:p>
    <w:p w14:paraId="6B6E6ED0" w14:textId="1D457E76" w:rsidR="009455C9" w:rsidRPr="00501B3D" w:rsidRDefault="009455C9" w:rsidP="003940DC">
      <w:pPr>
        <w:spacing w:after="0" w:line="276" w:lineRule="auto"/>
        <w:ind w:firstLine="720"/>
        <w:jc w:val="both"/>
        <w:rPr>
          <w:rFonts w:ascii="Times New Roman" w:hAnsi="Times New Roman" w:cs="Times New Roman"/>
          <w:sz w:val="24"/>
        </w:rPr>
      </w:pPr>
    </w:p>
    <w:p w14:paraId="0E112799" w14:textId="6CB05168" w:rsidR="009455C9" w:rsidRPr="00501B3D" w:rsidRDefault="009455C9" w:rsidP="003940DC">
      <w:pPr>
        <w:spacing w:after="0" w:line="276" w:lineRule="auto"/>
        <w:ind w:firstLine="720"/>
        <w:jc w:val="both"/>
        <w:rPr>
          <w:rFonts w:ascii="Times New Roman" w:hAnsi="Times New Roman" w:cs="Times New Roman"/>
          <w:sz w:val="24"/>
        </w:rPr>
      </w:pPr>
    </w:p>
    <w:p w14:paraId="33D38EF1" w14:textId="499F3E9E" w:rsidR="009455C9" w:rsidRPr="00501B3D" w:rsidRDefault="009455C9" w:rsidP="009455C9">
      <w:pPr>
        <w:spacing w:after="0" w:line="276" w:lineRule="auto"/>
        <w:jc w:val="both"/>
        <w:rPr>
          <w:rFonts w:ascii="Times New Roman" w:hAnsi="Times New Roman" w:cs="Times New Roman"/>
          <w:sz w:val="24"/>
        </w:rPr>
      </w:pPr>
    </w:p>
    <w:p w14:paraId="6EF9421B" w14:textId="48F17385" w:rsidR="009455C9" w:rsidRPr="00501B3D" w:rsidRDefault="009455C9" w:rsidP="003940DC">
      <w:pPr>
        <w:spacing w:after="0" w:line="276" w:lineRule="auto"/>
        <w:ind w:firstLine="720"/>
        <w:jc w:val="both"/>
        <w:rPr>
          <w:rFonts w:ascii="Times New Roman" w:hAnsi="Times New Roman" w:cs="Times New Roman"/>
          <w:sz w:val="24"/>
        </w:rPr>
      </w:pPr>
    </w:p>
    <w:p w14:paraId="71E99D8A" w14:textId="162849C2" w:rsidR="009455C9" w:rsidRDefault="009455C9" w:rsidP="003940DC">
      <w:pPr>
        <w:spacing w:after="0" w:line="276" w:lineRule="auto"/>
        <w:ind w:firstLine="720"/>
        <w:jc w:val="both"/>
        <w:rPr>
          <w:rFonts w:ascii="Times New Roman" w:hAnsi="Times New Roman" w:cs="Times New Roman"/>
          <w:sz w:val="24"/>
        </w:rPr>
      </w:pPr>
    </w:p>
    <w:p w14:paraId="22A25299" w14:textId="4847771F" w:rsidR="00501B3D" w:rsidRDefault="00501B3D" w:rsidP="003940DC">
      <w:pPr>
        <w:spacing w:after="0" w:line="276" w:lineRule="auto"/>
        <w:ind w:firstLine="720"/>
        <w:jc w:val="both"/>
        <w:rPr>
          <w:rFonts w:ascii="Times New Roman" w:hAnsi="Times New Roman" w:cs="Times New Roman"/>
          <w:sz w:val="24"/>
        </w:rPr>
      </w:pPr>
    </w:p>
    <w:p w14:paraId="78B1BB4C" w14:textId="556B470C" w:rsidR="00501B3D" w:rsidRDefault="00501B3D" w:rsidP="003940DC">
      <w:pPr>
        <w:spacing w:after="0" w:line="276" w:lineRule="auto"/>
        <w:ind w:firstLine="720"/>
        <w:jc w:val="both"/>
        <w:rPr>
          <w:rFonts w:ascii="Times New Roman" w:hAnsi="Times New Roman" w:cs="Times New Roman"/>
          <w:sz w:val="24"/>
        </w:rPr>
      </w:pPr>
    </w:p>
    <w:p w14:paraId="0F917BB1" w14:textId="5B42F118" w:rsidR="00501B3D" w:rsidRDefault="00501B3D" w:rsidP="003940DC">
      <w:pPr>
        <w:spacing w:after="0" w:line="276" w:lineRule="auto"/>
        <w:ind w:firstLine="720"/>
        <w:jc w:val="both"/>
        <w:rPr>
          <w:rFonts w:ascii="Times New Roman" w:hAnsi="Times New Roman" w:cs="Times New Roman"/>
          <w:sz w:val="24"/>
        </w:rPr>
      </w:pPr>
    </w:p>
    <w:p w14:paraId="3227FD9C" w14:textId="77777777" w:rsidR="00501B3D" w:rsidRPr="00501B3D" w:rsidRDefault="00501B3D" w:rsidP="003940DC">
      <w:pPr>
        <w:spacing w:after="0" w:line="276" w:lineRule="auto"/>
        <w:ind w:firstLine="720"/>
        <w:jc w:val="both"/>
        <w:rPr>
          <w:rFonts w:ascii="Times New Roman" w:hAnsi="Times New Roman" w:cs="Times New Roman"/>
          <w:sz w:val="24"/>
        </w:rPr>
      </w:pPr>
    </w:p>
    <w:p w14:paraId="406D27A2" w14:textId="095EDC36" w:rsidR="009455C9" w:rsidRPr="00501B3D" w:rsidRDefault="009455C9" w:rsidP="003940DC">
      <w:pPr>
        <w:spacing w:after="0" w:line="276" w:lineRule="auto"/>
        <w:ind w:firstLine="720"/>
        <w:jc w:val="both"/>
        <w:rPr>
          <w:rFonts w:ascii="Times New Roman" w:hAnsi="Times New Roman" w:cs="Times New Roman"/>
          <w:sz w:val="24"/>
        </w:rPr>
      </w:pPr>
    </w:p>
    <w:p w14:paraId="1732B18D" w14:textId="5DA017BA" w:rsidR="009455C9" w:rsidRPr="00501B3D" w:rsidRDefault="009455C9" w:rsidP="003940DC">
      <w:pPr>
        <w:spacing w:after="0" w:line="276" w:lineRule="auto"/>
        <w:ind w:firstLine="720"/>
        <w:jc w:val="both"/>
        <w:rPr>
          <w:rFonts w:ascii="Times New Roman" w:hAnsi="Times New Roman" w:cs="Times New Roman"/>
          <w:sz w:val="24"/>
        </w:rPr>
      </w:pPr>
    </w:p>
    <w:p w14:paraId="61BB227E" w14:textId="56768CA1" w:rsidR="009455C9" w:rsidRPr="00501B3D" w:rsidRDefault="009455C9" w:rsidP="009455C9">
      <w:pPr>
        <w:pStyle w:val="ListParagraph"/>
        <w:numPr>
          <w:ilvl w:val="1"/>
          <w:numId w:val="16"/>
        </w:numPr>
        <w:spacing w:after="0" w:line="276" w:lineRule="auto"/>
        <w:outlineLvl w:val="1"/>
        <w:rPr>
          <w:rFonts w:ascii="Times New Roman" w:hAnsi="Times New Roman" w:cs="Times New Roman"/>
          <w:b/>
          <w:color w:val="1F3864" w:themeColor="accent5" w:themeShade="80"/>
          <w:sz w:val="28"/>
          <w:szCs w:val="28"/>
        </w:rPr>
      </w:pPr>
      <w:bookmarkStart w:id="2" w:name="_Toc118192601"/>
      <w:r w:rsidRPr="00501B3D">
        <w:rPr>
          <w:rFonts w:ascii="Times New Roman" w:hAnsi="Times New Roman" w:cs="Times New Roman"/>
          <w:b/>
          <w:color w:val="1F3864" w:themeColor="accent5" w:themeShade="80"/>
          <w:sz w:val="28"/>
          <w:szCs w:val="28"/>
        </w:rPr>
        <w:lastRenderedPageBreak/>
        <w:t>Vispārīgā daļa</w:t>
      </w:r>
      <w:bookmarkEnd w:id="2"/>
    </w:p>
    <w:p w14:paraId="5AA563E3" w14:textId="01226EF2"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2B3ADEFA" w14:textId="2106DA36"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bookmarkStart w:id="3" w:name="_Toc118192602"/>
      <w:r w:rsidRPr="00501B3D">
        <w:rPr>
          <w:rFonts w:ascii="Times New Roman" w:hAnsi="Times New Roman" w:cs="Times New Roman"/>
          <w:b/>
          <w:noProof/>
          <w:color w:val="1F3864" w:themeColor="accent5" w:themeShade="80"/>
          <w:sz w:val="28"/>
          <w:szCs w:val="28"/>
          <w:lang w:eastAsia="lv-LV"/>
        </w:rPr>
        <w:drawing>
          <wp:anchor distT="0" distB="0" distL="114300" distR="114300" simplePos="0" relativeHeight="251661312" behindDoc="1" locked="0" layoutInCell="1" allowOverlap="1" wp14:anchorId="0FC943C4" wp14:editId="2B291143">
            <wp:simplePos x="0" y="0"/>
            <wp:positionH relativeFrom="margin">
              <wp:align>center</wp:align>
            </wp:positionH>
            <wp:positionV relativeFrom="paragraph">
              <wp:posOffset>5715</wp:posOffset>
            </wp:positionV>
            <wp:extent cx="5539740" cy="1195562"/>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39740" cy="1195562"/>
                    </a:xfrm>
                    <a:prstGeom prst="rect">
                      <a:avLst/>
                    </a:prstGeom>
                  </pic:spPr>
                </pic:pic>
              </a:graphicData>
            </a:graphic>
            <wp14:sizeRelH relativeFrom="margin">
              <wp14:pctWidth>0</wp14:pctWidth>
            </wp14:sizeRelH>
            <wp14:sizeRelV relativeFrom="margin">
              <wp14:pctHeight>0</wp14:pctHeight>
            </wp14:sizeRelV>
          </wp:anchor>
        </w:drawing>
      </w:r>
      <w:bookmarkEnd w:id="3"/>
    </w:p>
    <w:p w14:paraId="49E49BE0" w14:textId="64CBB6CE"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7630EF2C" w14:textId="2F301B2A"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38ED6CC" w14:textId="0C4CDDAE"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7BE1051F" w14:textId="3ADB0343"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7F18F136" w14:textId="4DC7E9AE"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bookmarkStart w:id="4" w:name="_Toc118192603"/>
      <w:r w:rsidRPr="00501B3D">
        <w:rPr>
          <w:rFonts w:ascii="Times New Roman" w:hAnsi="Times New Roman" w:cs="Times New Roman"/>
          <w:b/>
          <w:noProof/>
          <w:color w:val="1F3864" w:themeColor="accent5" w:themeShade="80"/>
          <w:sz w:val="28"/>
          <w:szCs w:val="28"/>
          <w:lang w:eastAsia="lv-LV"/>
        </w:rPr>
        <w:drawing>
          <wp:anchor distT="0" distB="0" distL="114300" distR="114300" simplePos="0" relativeHeight="251662336" behindDoc="1" locked="0" layoutInCell="1" allowOverlap="1" wp14:anchorId="7449088B" wp14:editId="1D801015">
            <wp:simplePos x="0" y="0"/>
            <wp:positionH relativeFrom="column">
              <wp:posOffset>100965</wp:posOffset>
            </wp:positionH>
            <wp:positionV relativeFrom="paragraph">
              <wp:posOffset>102870</wp:posOffset>
            </wp:positionV>
            <wp:extent cx="5584509" cy="1160773"/>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39067" cy="1172113"/>
                    </a:xfrm>
                    <a:prstGeom prst="rect">
                      <a:avLst/>
                    </a:prstGeom>
                  </pic:spPr>
                </pic:pic>
              </a:graphicData>
            </a:graphic>
            <wp14:sizeRelH relativeFrom="margin">
              <wp14:pctWidth>0</wp14:pctWidth>
            </wp14:sizeRelH>
            <wp14:sizeRelV relativeFrom="margin">
              <wp14:pctHeight>0</wp14:pctHeight>
            </wp14:sizeRelV>
          </wp:anchor>
        </w:drawing>
      </w:r>
      <w:bookmarkEnd w:id="4"/>
    </w:p>
    <w:p w14:paraId="163AD0CC" w14:textId="5D78990B"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17447182" w14:textId="73CAFFE5"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0A73EC0" w14:textId="6065CE64"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3CABBDA0" w14:textId="484A5EED"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8287E2A" w14:textId="6FD347FD"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bookmarkStart w:id="5" w:name="_Toc118192604"/>
      <w:r w:rsidRPr="00501B3D">
        <w:rPr>
          <w:rFonts w:ascii="Times New Roman" w:hAnsi="Times New Roman" w:cs="Times New Roman"/>
          <w:b/>
          <w:noProof/>
          <w:color w:val="1F3864" w:themeColor="accent5" w:themeShade="80"/>
          <w:sz w:val="28"/>
          <w:szCs w:val="28"/>
          <w:lang w:eastAsia="lv-LV"/>
        </w:rPr>
        <w:drawing>
          <wp:anchor distT="0" distB="0" distL="114300" distR="114300" simplePos="0" relativeHeight="251663360" behindDoc="1" locked="0" layoutInCell="1" allowOverlap="1" wp14:anchorId="30A817E6" wp14:editId="47428D73">
            <wp:simplePos x="0" y="0"/>
            <wp:positionH relativeFrom="column">
              <wp:posOffset>85725</wp:posOffset>
            </wp:positionH>
            <wp:positionV relativeFrom="paragraph">
              <wp:posOffset>154305</wp:posOffset>
            </wp:positionV>
            <wp:extent cx="5570220" cy="462967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73955" cy="4632780"/>
                    </a:xfrm>
                    <a:prstGeom prst="rect">
                      <a:avLst/>
                    </a:prstGeom>
                  </pic:spPr>
                </pic:pic>
              </a:graphicData>
            </a:graphic>
            <wp14:sizeRelH relativeFrom="margin">
              <wp14:pctWidth>0</wp14:pctWidth>
            </wp14:sizeRelH>
            <wp14:sizeRelV relativeFrom="margin">
              <wp14:pctHeight>0</wp14:pctHeight>
            </wp14:sizeRelV>
          </wp:anchor>
        </w:drawing>
      </w:r>
      <w:bookmarkEnd w:id="5"/>
    </w:p>
    <w:p w14:paraId="164865D4" w14:textId="0758AC36"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7FB1D568" w14:textId="0B07C5FF"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44437DCF" w14:textId="1DCD4D76"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8215C2A" w14:textId="01E3C8F7"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1AA1698D" w14:textId="310D2C4E"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16988CC" w14:textId="10275E65"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515CF80C" w14:textId="10DBC488"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5A0F5159" w14:textId="57C7EEA8"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2C1B97D9" w14:textId="4CA4719B"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5BA72AE3" w14:textId="4DAF6AFA"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5DA7C7B8" w14:textId="5083BF2F"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94A4597" w14:textId="256FDD9C"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4F957A98" w14:textId="55DBCF6A"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6CB0FDA8" w14:textId="03CE3AF5"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19B87FC7" w14:textId="5B2A9714"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0BF2C019" w14:textId="234CE03C"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57433144" w14:textId="2D47F403"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3C68D9C7" w14:textId="79410D85"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4FB0B2FB" w14:textId="12B1673E"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3AD2651B" w14:textId="77777777"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213829FD" w14:textId="57825496"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3DF3D21D" w14:textId="2D61C85F"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1B50ACF8" w14:textId="1594737C"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7B1F0CD2" w14:textId="77777777" w:rsidR="009455C9" w:rsidRPr="00501B3D" w:rsidRDefault="009455C9" w:rsidP="009455C9">
      <w:pPr>
        <w:pStyle w:val="ListParagraph"/>
        <w:spacing w:after="0" w:line="276" w:lineRule="auto"/>
        <w:ind w:left="1080"/>
        <w:outlineLvl w:val="1"/>
        <w:rPr>
          <w:rFonts w:ascii="Times New Roman" w:hAnsi="Times New Roman" w:cs="Times New Roman"/>
          <w:b/>
          <w:color w:val="1F3864" w:themeColor="accent5" w:themeShade="80"/>
          <w:sz w:val="28"/>
          <w:szCs w:val="28"/>
        </w:rPr>
      </w:pPr>
    </w:p>
    <w:p w14:paraId="496D3874" w14:textId="45DD34D1" w:rsidR="00936CC4" w:rsidRPr="00501B3D" w:rsidRDefault="00DB0D78" w:rsidP="009455C9">
      <w:pPr>
        <w:pStyle w:val="Heading2"/>
        <w:numPr>
          <w:ilvl w:val="1"/>
          <w:numId w:val="16"/>
        </w:numPr>
        <w:rPr>
          <w:rFonts w:ascii="Times New Roman" w:hAnsi="Times New Roman" w:cs="Times New Roman"/>
          <w:b/>
          <w:color w:val="000000" w:themeColor="text1"/>
          <w:sz w:val="28"/>
          <w:szCs w:val="28"/>
        </w:rPr>
      </w:pPr>
      <w:bookmarkStart w:id="6" w:name="_Toc118192605"/>
      <w:r w:rsidRPr="00501B3D">
        <w:rPr>
          <w:rFonts w:ascii="Times New Roman" w:hAnsi="Times New Roman" w:cs="Times New Roman"/>
          <w:b/>
          <w:color w:val="1F3864" w:themeColor="accent5" w:themeShade="80"/>
          <w:sz w:val="28"/>
          <w:szCs w:val="28"/>
        </w:rPr>
        <w:lastRenderedPageBreak/>
        <w:t xml:space="preserve">Iekšlietu ministrijas </w:t>
      </w:r>
      <w:r w:rsidR="00E91FE5" w:rsidRPr="00501B3D">
        <w:rPr>
          <w:rFonts w:ascii="Times New Roman" w:hAnsi="Times New Roman" w:cs="Times New Roman"/>
          <w:b/>
          <w:color w:val="1F3864" w:themeColor="accent5" w:themeShade="80"/>
          <w:sz w:val="28"/>
          <w:szCs w:val="28"/>
        </w:rPr>
        <w:t>m</w:t>
      </w:r>
      <w:r w:rsidR="00936CC4" w:rsidRPr="00501B3D">
        <w:rPr>
          <w:rFonts w:ascii="Times New Roman" w:hAnsi="Times New Roman" w:cs="Times New Roman"/>
          <w:b/>
          <w:color w:val="1F3864" w:themeColor="accent5" w:themeShade="80"/>
          <w:sz w:val="28"/>
          <w:szCs w:val="28"/>
        </w:rPr>
        <w:t>ērķgrupas</w:t>
      </w:r>
      <w:bookmarkEnd w:id="6"/>
    </w:p>
    <w:tbl>
      <w:tblPr>
        <w:tblStyle w:val="GridTable1Light-Accent5"/>
        <w:tblpPr w:leftFromText="180" w:rightFromText="180" w:vertAnchor="text" w:horzAnchor="margin" w:tblpXSpec="center" w:tblpY="80"/>
        <w:tblW w:w="8217" w:type="dxa"/>
        <w:tblLook w:val="04A0" w:firstRow="1" w:lastRow="0" w:firstColumn="1" w:lastColumn="0" w:noHBand="0" w:noVBand="1"/>
      </w:tblPr>
      <w:tblGrid>
        <w:gridCol w:w="704"/>
        <w:gridCol w:w="2126"/>
        <w:gridCol w:w="5387"/>
      </w:tblGrid>
      <w:tr w:rsidR="003E5E39" w:rsidRPr="00501B3D" w14:paraId="2AA405FE" w14:textId="77777777" w:rsidTr="003E5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12" w:space="0" w:color="FFFFFF" w:themeColor="background1"/>
              <w:left w:val="single" w:sz="12" w:space="0" w:color="FFFFFF" w:themeColor="background1"/>
            </w:tcBorders>
          </w:tcPr>
          <w:p w14:paraId="2AF2CB56" w14:textId="77777777" w:rsidR="003E5E39" w:rsidRPr="00501B3D" w:rsidRDefault="003E5E39" w:rsidP="003E5E39">
            <w:pPr>
              <w:jc w:val="center"/>
              <w:rPr>
                <w:rFonts w:ascii="Times New Roman" w:hAnsi="Times New Roman" w:cs="Times New Roman"/>
                <w:b w:val="0"/>
                <w:sz w:val="24"/>
              </w:rPr>
            </w:pPr>
          </w:p>
        </w:tc>
        <w:tc>
          <w:tcPr>
            <w:tcW w:w="2126" w:type="dxa"/>
            <w:shd w:val="clear" w:color="auto" w:fill="D9E2F3" w:themeFill="accent5" w:themeFillTint="33"/>
          </w:tcPr>
          <w:p w14:paraId="3F6F7F14" w14:textId="77777777" w:rsidR="003E5E39" w:rsidRPr="00501B3D" w:rsidRDefault="003E5E39" w:rsidP="003E5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Mērķgrupa</w:t>
            </w:r>
          </w:p>
        </w:tc>
        <w:tc>
          <w:tcPr>
            <w:tcW w:w="5387" w:type="dxa"/>
            <w:shd w:val="clear" w:color="auto" w:fill="D9E2F3" w:themeFill="accent5" w:themeFillTint="33"/>
          </w:tcPr>
          <w:p w14:paraId="336AFE21" w14:textId="77777777" w:rsidR="003E5E39" w:rsidRPr="00501B3D" w:rsidRDefault="003E5E39" w:rsidP="003E5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Mērķgrupas intereses/vajadzības</w:t>
            </w:r>
          </w:p>
        </w:tc>
      </w:tr>
      <w:tr w:rsidR="003E5E39" w:rsidRPr="00501B3D" w14:paraId="52A1EA02" w14:textId="77777777" w:rsidTr="003E5E39">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9E2F3" w:themeFill="accent5" w:themeFillTint="33"/>
            <w:textDirection w:val="btLr"/>
          </w:tcPr>
          <w:p w14:paraId="7186981E" w14:textId="77777777" w:rsidR="003E5E39" w:rsidRPr="00501B3D" w:rsidRDefault="003E5E39" w:rsidP="003E5E39">
            <w:pPr>
              <w:ind w:left="113" w:right="113"/>
              <w:jc w:val="center"/>
              <w:rPr>
                <w:rFonts w:ascii="Times New Roman" w:hAnsi="Times New Roman" w:cs="Times New Roman"/>
                <w:sz w:val="24"/>
              </w:rPr>
            </w:pPr>
            <w:r w:rsidRPr="00501B3D">
              <w:rPr>
                <w:rFonts w:ascii="Times New Roman" w:hAnsi="Times New Roman" w:cs="Times New Roman"/>
                <w:sz w:val="24"/>
              </w:rPr>
              <w:t>Iekšējās mērķgrupas (iekšlietu nozarē)</w:t>
            </w:r>
          </w:p>
        </w:tc>
        <w:tc>
          <w:tcPr>
            <w:tcW w:w="2126" w:type="dxa"/>
          </w:tcPr>
          <w:p w14:paraId="5386B59A"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Ministrijas padotībā esošās iestādes un kapitālsabiedrība</w:t>
            </w:r>
          </w:p>
        </w:tc>
        <w:tc>
          <w:tcPr>
            <w:tcW w:w="5387" w:type="dxa"/>
          </w:tcPr>
          <w:p w14:paraId="71F1B4C7"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nozares attīstības vīzija;</w:t>
            </w:r>
          </w:p>
          <w:p w14:paraId="60B11C58"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atbalsts nepieciešamā finansējuma piesaistē;</w:t>
            </w:r>
          </w:p>
          <w:p w14:paraId="05994519"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atbalsts politikas ieviešanā;</w:t>
            </w:r>
          </w:p>
          <w:p w14:paraId="63FC7D7D"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padotības iestāžu interešu pārstāvība;</w:t>
            </w:r>
          </w:p>
          <w:p w14:paraId="68670118"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6D053DE1"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289B24F9" w14:textId="77777777" w:rsidR="003E5E39" w:rsidRPr="00501B3D" w:rsidRDefault="003E5E39" w:rsidP="003E5E39">
            <w:pPr>
              <w:jc w:val="center"/>
              <w:rPr>
                <w:rFonts w:ascii="Times New Roman" w:hAnsi="Times New Roman" w:cs="Times New Roman"/>
                <w:sz w:val="24"/>
              </w:rPr>
            </w:pPr>
          </w:p>
        </w:tc>
        <w:tc>
          <w:tcPr>
            <w:tcW w:w="2126" w:type="dxa"/>
          </w:tcPr>
          <w:p w14:paraId="62E61A8E"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Nozarē nodarbinātie un tos pārstāvošās arodbiedrības</w:t>
            </w:r>
          </w:p>
        </w:tc>
        <w:tc>
          <w:tcPr>
            <w:tcW w:w="5387" w:type="dxa"/>
          </w:tcPr>
          <w:p w14:paraId="309598F9"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atalgojuma sistēmas pilnveide un konkurētspējīga atalgojuma nodrošināšana;</w:t>
            </w:r>
          </w:p>
          <w:p w14:paraId="761A44B2"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sociālo garantiju sistēmas pilnveide un nodrošināšana;</w:t>
            </w:r>
          </w:p>
          <w:p w14:paraId="68CA625D"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nodarbināto darba vides sakārtošana;</w:t>
            </w:r>
          </w:p>
          <w:p w14:paraId="372C73CF"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nozarē nodarbināto interešu pārstāvība;</w:t>
            </w:r>
          </w:p>
          <w:p w14:paraId="3F63A6DD" w14:textId="77777777" w:rsidR="003E5E39" w:rsidRPr="00501B3D" w:rsidRDefault="003E5E39" w:rsidP="003E5E39">
            <w:pPr>
              <w:pStyle w:val="ListParagraph"/>
              <w:numPr>
                <w:ilvl w:val="0"/>
                <w:numId w:val="3"/>
              </w:numPr>
              <w:ind w:left="309" w:hanging="2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3E742BA4" w14:textId="77777777" w:rsidTr="003E5E39">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D9E2F3" w:themeFill="accent5" w:themeFillTint="33"/>
            <w:textDirection w:val="btLr"/>
          </w:tcPr>
          <w:p w14:paraId="7D23D985" w14:textId="77777777" w:rsidR="003E5E39" w:rsidRPr="00501B3D" w:rsidRDefault="003E5E39" w:rsidP="003E5E39">
            <w:pPr>
              <w:ind w:left="113" w:right="113"/>
              <w:jc w:val="center"/>
              <w:rPr>
                <w:rFonts w:ascii="Times New Roman" w:hAnsi="Times New Roman" w:cs="Times New Roman"/>
                <w:sz w:val="24"/>
              </w:rPr>
            </w:pPr>
            <w:r w:rsidRPr="00501B3D">
              <w:rPr>
                <w:rFonts w:ascii="Times New Roman" w:hAnsi="Times New Roman" w:cs="Times New Roman"/>
                <w:sz w:val="24"/>
              </w:rPr>
              <w:t>Ārējās mērķgrupas (ārpus iekšlietu nozares)</w:t>
            </w:r>
          </w:p>
        </w:tc>
        <w:tc>
          <w:tcPr>
            <w:tcW w:w="2126" w:type="dxa"/>
          </w:tcPr>
          <w:p w14:paraId="635CBC06"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Saeima, Ministru kabinets</w:t>
            </w:r>
          </w:p>
        </w:tc>
        <w:tc>
          <w:tcPr>
            <w:tcW w:w="5387" w:type="dxa"/>
          </w:tcPr>
          <w:p w14:paraId="77A623FE"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valdības prioritāšu kvalitatīva, efektīva un laicīga īstenošana;</w:t>
            </w:r>
          </w:p>
          <w:p w14:paraId="3BBFC41B"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augsti kvalificēts nozares personāls;</w:t>
            </w:r>
          </w:p>
          <w:p w14:paraId="46D30AF6"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Ministrijas spēja strauji reaģēt uz mainīgiem apstākļiem;</w:t>
            </w:r>
          </w:p>
          <w:p w14:paraId="29586053"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3F2B1D18"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09BB041B" w14:textId="77777777" w:rsidR="003E5E39" w:rsidRPr="00501B3D" w:rsidRDefault="003E5E39" w:rsidP="003E5E39">
            <w:pPr>
              <w:jc w:val="both"/>
              <w:rPr>
                <w:rFonts w:ascii="Times New Roman" w:hAnsi="Times New Roman" w:cs="Times New Roman"/>
                <w:sz w:val="24"/>
              </w:rPr>
            </w:pPr>
          </w:p>
        </w:tc>
        <w:tc>
          <w:tcPr>
            <w:tcW w:w="2126" w:type="dxa"/>
          </w:tcPr>
          <w:p w14:paraId="669924E5"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Valsts pārvaldes iestādes</w:t>
            </w:r>
          </w:p>
        </w:tc>
        <w:tc>
          <w:tcPr>
            <w:tcW w:w="5387" w:type="dxa"/>
          </w:tcPr>
          <w:p w14:paraId="1C296206"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atbalsta sniegšana starpnozaru dokumentu izstrādē un iniciatīvu īstenošanā;</w:t>
            </w:r>
          </w:p>
          <w:p w14:paraId="7AA24B2E"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79EDF7CD"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74080572" w14:textId="77777777" w:rsidR="003E5E39" w:rsidRPr="00501B3D" w:rsidRDefault="003E5E39" w:rsidP="003E5E39">
            <w:pPr>
              <w:jc w:val="both"/>
              <w:rPr>
                <w:rFonts w:ascii="Times New Roman" w:hAnsi="Times New Roman" w:cs="Times New Roman"/>
                <w:sz w:val="24"/>
              </w:rPr>
            </w:pPr>
          </w:p>
        </w:tc>
        <w:tc>
          <w:tcPr>
            <w:tcW w:w="2126" w:type="dxa"/>
          </w:tcPr>
          <w:p w14:paraId="72C5DD8C"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Pašvaldības</w:t>
            </w:r>
          </w:p>
        </w:tc>
        <w:tc>
          <w:tcPr>
            <w:tcW w:w="5387" w:type="dxa"/>
          </w:tcPr>
          <w:p w14:paraId="2BD13CDF"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sadarbība ar iekšējo drošību saistīto problēmjautājumu risināšanā;</w:t>
            </w:r>
          </w:p>
          <w:p w14:paraId="1518F7FA"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4ABC8BA1"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39486657" w14:textId="77777777" w:rsidR="003E5E39" w:rsidRPr="00501B3D" w:rsidRDefault="003E5E39" w:rsidP="003E5E39">
            <w:pPr>
              <w:jc w:val="both"/>
              <w:rPr>
                <w:rFonts w:ascii="Times New Roman" w:hAnsi="Times New Roman" w:cs="Times New Roman"/>
                <w:sz w:val="24"/>
              </w:rPr>
            </w:pPr>
          </w:p>
        </w:tc>
        <w:tc>
          <w:tcPr>
            <w:tcW w:w="2126" w:type="dxa"/>
          </w:tcPr>
          <w:p w14:paraId="298ADC9E"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Sabiedrība – iedzīvotāji, uzņēmēji, nevalstiskās organizācijas</w:t>
            </w:r>
          </w:p>
        </w:tc>
        <w:tc>
          <w:tcPr>
            <w:tcW w:w="5387" w:type="dxa"/>
          </w:tcPr>
          <w:p w14:paraId="4F3E580A"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valsts iekšējās drošības un iedzīvotāju drošības sajūtas uzlabošana;</w:t>
            </w:r>
          </w:p>
          <w:p w14:paraId="25C44BC7" w14:textId="26A16DFE" w:rsidR="003E5E39" w:rsidRPr="00501B3D" w:rsidRDefault="00BB476E"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visu iedzīvotāju</w:t>
            </w:r>
            <w:r w:rsidR="003E5E39" w:rsidRPr="00501B3D">
              <w:rPr>
                <w:rFonts w:ascii="Times New Roman" w:hAnsi="Times New Roman" w:cs="Times New Roman"/>
                <w:sz w:val="24"/>
              </w:rPr>
              <w:t xml:space="preserve"> tiesību un likumīgo interešu aizstāvība;</w:t>
            </w:r>
          </w:p>
          <w:p w14:paraId="769BEA74" w14:textId="7A382A95"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 xml:space="preserve">sadarbība ar sabiedrības un uzņēmumu pārstāvjiem </w:t>
            </w:r>
            <w:r w:rsidR="00BB476E" w:rsidRPr="00501B3D">
              <w:rPr>
                <w:rFonts w:ascii="Times New Roman" w:hAnsi="Times New Roman" w:cs="Times New Roman"/>
                <w:sz w:val="24"/>
              </w:rPr>
              <w:t xml:space="preserve">iekšlietu </w:t>
            </w:r>
            <w:r w:rsidRPr="00501B3D">
              <w:rPr>
                <w:rFonts w:ascii="Times New Roman" w:hAnsi="Times New Roman" w:cs="Times New Roman"/>
                <w:sz w:val="24"/>
              </w:rPr>
              <w:t>politikas veidošanā un ieviešanā;</w:t>
            </w:r>
          </w:p>
          <w:p w14:paraId="567E6A30"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tc>
      </w:tr>
      <w:tr w:rsidR="003E5E39" w:rsidRPr="00501B3D" w14:paraId="2486C687"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3E45714F" w14:textId="77777777" w:rsidR="003E5E39" w:rsidRPr="00501B3D" w:rsidRDefault="003E5E39" w:rsidP="003E5E39">
            <w:pPr>
              <w:jc w:val="both"/>
              <w:rPr>
                <w:rFonts w:ascii="Times New Roman" w:hAnsi="Times New Roman" w:cs="Times New Roman"/>
                <w:sz w:val="24"/>
              </w:rPr>
            </w:pPr>
          </w:p>
        </w:tc>
        <w:tc>
          <w:tcPr>
            <w:tcW w:w="2126" w:type="dxa"/>
          </w:tcPr>
          <w:p w14:paraId="0918CB07"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Starptautiskās institūcijas un partneri</w:t>
            </w:r>
          </w:p>
        </w:tc>
        <w:tc>
          <w:tcPr>
            <w:tcW w:w="5387" w:type="dxa"/>
          </w:tcPr>
          <w:p w14:paraId="17319187"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Latvijas starptautisko saistību izpilde;</w:t>
            </w:r>
          </w:p>
          <w:p w14:paraId="63A8B48B"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 xml:space="preserve">Latvijas nostājas pārstāvība, kā arī aktīva līdzdarbība starptautisko partneru un institūciju iniciatīvu īstenošanā; </w:t>
            </w:r>
          </w:p>
          <w:p w14:paraId="5A2323CB"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nepieciešamās informācijas sagatavošana un sniegšana;</w:t>
            </w:r>
          </w:p>
          <w:p w14:paraId="112100C9"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w:t>
            </w:r>
          </w:p>
          <w:p w14:paraId="3A27D0EC"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atbalsta sniegšana starptautiskajiem partneriem.</w:t>
            </w:r>
          </w:p>
        </w:tc>
      </w:tr>
      <w:tr w:rsidR="003E5E39" w:rsidRPr="00501B3D" w14:paraId="2C050368" w14:textId="77777777" w:rsidTr="003E5E39">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617AE5E2" w14:textId="77777777" w:rsidR="003E5E39" w:rsidRPr="00501B3D" w:rsidRDefault="003E5E39" w:rsidP="003E5E39">
            <w:pPr>
              <w:jc w:val="both"/>
              <w:rPr>
                <w:rFonts w:ascii="Times New Roman" w:hAnsi="Times New Roman" w:cs="Times New Roman"/>
                <w:sz w:val="24"/>
              </w:rPr>
            </w:pPr>
          </w:p>
        </w:tc>
        <w:tc>
          <w:tcPr>
            <w:tcW w:w="2126" w:type="dxa"/>
          </w:tcPr>
          <w:p w14:paraId="42D1FBD3" w14:textId="77777777" w:rsidR="003E5E39" w:rsidRPr="00501B3D" w:rsidRDefault="003E5E39" w:rsidP="003E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Mediji</w:t>
            </w:r>
          </w:p>
        </w:tc>
        <w:tc>
          <w:tcPr>
            <w:tcW w:w="5387" w:type="dxa"/>
          </w:tcPr>
          <w:p w14:paraId="0CB696A3"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skaidra un savlaicīga komunikācija un informācijas sniegšana;</w:t>
            </w:r>
          </w:p>
          <w:p w14:paraId="53BD9B8B" w14:textId="77777777" w:rsidR="003E5E39" w:rsidRPr="00501B3D" w:rsidRDefault="003E5E39" w:rsidP="003E5E39">
            <w:pPr>
              <w:pStyle w:val="ListParagraph"/>
              <w:numPr>
                <w:ilvl w:val="0"/>
                <w:numId w:val="4"/>
              </w:numPr>
              <w:ind w:left="308" w:hanging="23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1B3D">
              <w:rPr>
                <w:rFonts w:ascii="Times New Roman" w:hAnsi="Times New Roman" w:cs="Times New Roman"/>
                <w:sz w:val="24"/>
              </w:rPr>
              <w:t>caurspīdība Ministrijas pamatfunkciju izpildē un noteikto prioritāšu ieviešanā.</w:t>
            </w:r>
          </w:p>
        </w:tc>
      </w:tr>
    </w:tbl>
    <w:p w14:paraId="48DCAD04" w14:textId="0DE95398" w:rsidR="00992E40" w:rsidRPr="00501B3D" w:rsidRDefault="00992E40">
      <w:pPr>
        <w:rPr>
          <w:rFonts w:ascii="Times New Roman" w:hAnsi="Times New Roman" w:cs="Times New Roman"/>
          <w:sz w:val="28"/>
        </w:rPr>
        <w:sectPr w:rsidR="00992E40" w:rsidRPr="00501B3D" w:rsidSect="006F1AA6">
          <w:headerReference w:type="default" r:id="rId12"/>
          <w:footerReference w:type="default" r:id="rId13"/>
          <w:pgSz w:w="11906" w:h="16838"/>
          <w:pgMar w:top="1134" w:right="1134" w:bottom="1134" w:left="1701" w:header="709" w:footer="709" w:gutter="0"/>
          <w:cols w:space="708"/>
          <w:titlePg/>
          <w:docGrid w:linePitch="360"/>
        </w:sectPr>
      </w:pPr>
    </w:p>
    <w:p w14:paraId="54E65C7A" w14:textId="72AF5936" w:rsidR="006D6D94" w:rsidRPr="00501B3D" w:rsidRDefault="00917DFF" w:rsidP="00917DFF">
      <w:pPr>
        <w:pStyle w:val="Heading1"/>
        <w:jc w:val="center"/>
        <w:rPr>
          <w:color w:val="1F3864" w:themeColor="accent5" w:themeShade="80"/>
          <w:sz w:val="32"/>
          <w:szCs w:val="32"/>
        </w:rPr>
      </w:pPr>
      <w:bookmarkStart w:id="7" w:name="_Toc118192606"/>
      <w:r w:rsidRPr="00501B3D">
        <w:rPr>
          <w:color w:val="1F3864" w:themeColor="accent5" w:themeShade="80"/>
          <w:sz w:val="32"/>
          <w:szCs w:val="32"/>
        </w:rPr>
        <w:lastRenderedPageBreak/>
        <w:t>2. </w:t>
      </w:r>
      <w:r w:rsidR="007F3600" w:rsidRPr="00501B3D">
        <w:rPr>
          <w:color w:val="1F3864" w:themeColor="accent5" w:themeShade="80"/>
          <w:sz w:val="32"/>
          <w:szCs w:val="32"/>
        </w:rPr>
        <w:t xml:space="preserve">Stratēģiskā prioritāte Nr. 1: </w:t>
      </w:r>
      <w:r w:rsidR="0003072B" w:rsidRPr="00501B3D">
        <w:rPr>
          <w:color w:val="1F3864" w:themeColor="accent5" w:themeShade="80"/>
          <w:sz w:val="32"/>
          <w:szCs w:val="32"/>
        </w:rPr>
        <w:t>L</w:t>
      </w:r>
      <w:r w:rsidR="00EC20BF" w:rsidRPr="00501B3D">
        <w:rPr>
          <w:color w:val="1F3864" w:themeColor="accent5" w:themeShade="80"/>
          <w:sz w:val="32"/>
          <w:szCs w:val="32"/>
        </w:rPr>
        <w:t xml:space="preserve">ietderīgi, </w:t>
      </w:r>
      <w:r w:rsidR="002D7E40" w:rsidRPr="00501B3D">
        <w:rPr>
          <w:color w:val="1F3864" w:themeColor="accent5" w:themeShade="80"/>
          <w:sz w:val="32"/>
          <w:szCs w:val="32"/>
        </w:rPr>
        <w:t xml:space="preserve">efektīvi un </w:t>
      </w:r>
      <w:r w:rsidR="00EC20BF" w:rsidRPr="00501B3D">
        <w:rPr>
          <w:color w:val="1F3864" w:themeColor="accent5" w:themeShade="80"/>
          <w:sz w:val="32"/>
          <w:szCs w:val="32"/>
        </w:rPr>
        <w:t>digitāli iekšējie procesi</w:t>
      </w:r>
      <w:bookmarkEnd w:id="7"/>
    </w:p>
    <w:tbl>
      <w:tblPr>
        <w:tblStyle w:val="GridTable1Light-Accent5"/>
        <w:tblpPr w:leftFromText="180" w:rightFromText="180" w:vertAnchor="text" w:tblpY="1"/>
        <w:tblW w:w="13953" w:type="dxa"/>
        <w:tblLook w:val="04A0" w:firstRow="1" w:lastRow="0" w:firstColumn="1" w:lastColumn="0" w:noHBand="0" w:noVBand="1"/>
      </w:tblPr>
      <w:tblGrid>
        <w:gridCol w:w="506"/>
        <w:gridCol w:w="1869"/>
        <w:gridCol w:w="2962"/>
        <w:gridCol w:w="1243"/>
        <w:gridCol w:w="1094"/>
        <w:gridCol w:w="756"/>
        <w:gridCol w:w="756"/>
        <w:gridCol w:w="1567"/>
        <w:gridCol w:w="1876"/>
        <w:gridCol w:w="1923"/>
      </w:tblGrid>
      <w:tr w:rsidR="00100F82" w:rsidRPr="00501B3D" w14:paraId="54C68CEE" w14:textId="223F437A" w:rsidTr="00077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top w:val="single" w:sz="12" w:space="0" w:color="FFFFFF" w:themeColor="background1"/>
              <w:left w:val="single" w:sz="12" w:space="0" w:color="FFFFFF" w:themeColor="background1"/>
              <w:bottom w:val="single" w:sz="12" w:space="0" w:color="FFFFFF" w:themeColor="background1"/>
            </w:tcBorders>
          </w:tcPr>
          <w:p w14:paraId="24768EFC" w14:textId="77777777" w:rsidR="0076284E" w:rsidRPr="00501B3D" w:rsidRDefault="0076284E" w:rsidP="00877D03">
            <w:pPr>
              <w:rPr>
                <w:rFonts w:ascii="Times New Roman" w:hAnsi="Times New Roman" w:cs="Times New Roman"/>
                <w:sz w:val="24"/>
                <w:szCs w:val="24"/>
              </w:rPr>
            </w:pPr>
          </w:p>
        </w:tc>
        <w:tc>
          <w:tcPr>
            <w:tcW w:w="2260" w:type="dxa"/>
            <w:vMerge w:val="restart"/>
            <w:shd w:val="clear" w:color="auto" w:fill="D9E2F3" w:themeFill="accent5" w:themeFillTint="33"/>
          </w:tcPr>
          <w:p w14:paraId="73582B24" w14:textId="77777777" w:rsidR="0076284E" w:rsidRPr="00501B3D" w:rsidRDefault="0076284E" w:rsidP="00100F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Stratēģiskie mērķi</w:t>
            </w:r>
          </w:p>
        </w:tc>
        <w:tc>
          <w:tcPr>
            <w:tcW w:w="2709" w:type="dxa"/>
            <w:vMerge w:val="restart"/>
            <w:shd w:val="clear" w:color="auto" w:fill="D9E2F3" w:themeFill="accent5" w:themeFillTint="33"/>
          </w:tcPr>
          <w:p w14:paraId="187BFCDE" w14:textId="77777777" w:rsidR="0076284E" w:rsidRPr="00501B3D" w:rsidRDefault="0076284E" w:rsidP="00100F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Rezultatīvie rādītāji</w:t>
            </w:r>
          </w:p>
        </w:tc>
        <w:tc>
          <w:tcPr>
            <w:tcW w:w="4668" w:type="dxa"/>
            <w:gridSpan w:val="5"/>
            <w:shd w:val="clear" w:color="auto" w:fill="D9E2F3" w:themeFill="accent5" w:themeFillTint="33"/>
          </w:tcPr>
          <w:p w14:paraId="67A07CA1" w14:textId="77777777" w:rsidR="0076284E" w:rsidRPr="00501B3D" w:rsidRDefault="0076284E" w:rsidP="00100F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Rezultatīvo rādītāju vērtības</w:t>
            </w:r>
          </w:p>
        </w:tc>
        <w:tc>
          <w:tcPr>
            <w:tcW w:w="1895" w:type="dxa"/>
            <w:vMerge w:val="restart"/>
            <w:shd w:val="clear" w:color="auto" w:fill="D9E2F3" w:themeFill="accent5" w:themeFillTint="33"/>
          </w:tcPr>
          <w:p w14:paraId="12DA1E3C" w14:textId="474F9830" w:rsidR="0076284E" w:rsidRPr="00501B3D" w:rsidRDefault="0076284E" w:rsidP="00100F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Iniciatīvas</w:t>
            </w:r>
          </w:p>
        </w:tc>
        <w:tc>
          <w:tcPr>
            <w:tcW w:w="1923" w:type="dxa"/>
            <w:vMerge w:val="restart"/>
            <w:shd w:val="clear" w:color="auto" w:fill="D9E2F3" w:themeFill="accent5" w:themeFillTint="33"/>
          </w:tcPr>
          <w:p w14:paraId="700C665A" w14:textId="1232A004" w:rsidR="0076284E" w:rsidRPr="00501B3D" w:rsidRDefault="0076284E" w:rsidP="00100F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Atbildīgā struktūrvienība</w:t>
            </w:r>
          </w:p>
        </w:tc>
      </w:tr>
      <w:tr w:rsidR="00100F82" w:rsidRPr="00501B3D" w14:paraId="5D93AD92" w14:textId="26BF6C07" w:rsidTr="007534C7">
        <w:tc>
          <w:tcPr>
            <w:cnfStyle w:val="001000000000" w:firstRow="0" w:lastRow="0" w:firstColumn="1" w:lastColumn="0" w:oddVBand="0" w:evenVBand="0" w:oddHBand="0" w:evenHBand="0" w:firstRowFirstColumn="0" w:firstRowLastColumn="0" w:lastRowFirstColumn="0" w:lastRowLastColumn="0"/>
            <w:tcW w:w="498" w:type="dxa"/>
            <w:tcBorders>
              <w:top w:val="single" w:sz="12" w:space="0" w:color="FFFFFF" w:themeColor="background1"/>
              <w:left w:val="single" w:sz="12" w:space="0" w:color="FFFFFF" w:themeColor="background1"/>
            </w:tcBorders>
          </w:tcPr>
          <w:p w14:paraId="60197BF2" w14:textId="77777777" w:rsidR="0076284E" w:rsidRPr="00501B3D" w:rsidRDefault="0076284E" w:rsidP="00877D03">
            <w:pPr>
              <w:rPr>
                <w:rFonts w:ascii="Times New Roman" w:hAnsi="Times New Roman" w:cs="Times New Roman"/>
                <w:sz w:val="24"/>
                <w:szCs w:val="24"/>
              </w:rPr>
            </w:pPr>
          </w:p>
        </w:tc>
        <w:tc>
          <w:tcPr>
            <w:tcW w:w="2260" w:type="dxa"/>
            <w:vMerge/>
          </w:tcPr>
          <w:p w14:paraId="4CB4EBEC" w14:textId="77777777" w:rsidR="0076284E" w:rsidRPr="00501B3D" w:rsidRDefault="0076284E"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53CBA3FC" w14:textId="77777777" w:rsidR="0076284E" w:rsidRPr="00501B3D" w:rsidRDefault="0076284E"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14:paraId="465EDFED" w14:textId="77777777" w:rsidR="0076284E" w:rsidRPr="00501B3D" w:rsidRDefault="0076284E" w:rsidP="0087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2023. gads</w:t>
            </w:r>
          </w:p>
        </w:tc>
        <w:tc>
          <w:tcPr>
            <w:tcW w:w="806" w:type="dxa"/>
          </w:tcPr>
          <w:p w14:paraId="40C157B9" w14:textId="77777777" w:rsidR="0076284E" w:rsidRPr="00501B3D" w:rsidRDefault="0076284E" w:rsidP="0087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2024. gads</w:t>
            </w:r>
          </w:p>
        </w:tc>
        <w:tc>
          <w:tcPr>
            <w:tcW w:w="1567" w:type="dxa"/>
          </w:tcPr>
          <w:p w14:paraId="544F18C4" w14:textId="77777777" w:rsidR="0076284E" w:rsidRPr="00501B3D" w:rsidRDefault="0076284E" w:rsidP="0087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2025. gads</w:t>
            </w:r>
          </w:p>
        </w:tc>
        <w:tc>
          <w:tcPr>
            <w:tcW w:w="756" w:type="dxa"/>
          </w:tcPr>
          <w:p w14:paraId="7975F8C2" w14:textId="77777777" w:rsidR="0076284E" w:rsidRPr="00501B3D" w:rsidRDefault="0076284E" w:rsidP="0087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2026. gads</w:t>
            </w:r>
          </w:p>
        </w:tc>
        <w:tc>
          <w:tcPr>
            <w:tcW w:w="783" w:type="dxa"/>
          </w:tcPr>
          <w:p w14:paraId="3DD51759" w14:textId="77777777" w:rsidR="0076284E" w:rsidRPr="00501B3D" w:rsidRDefault="0076284E" w:rsidP="00877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2027. gads</w:t>
            </w:r>
          </w:p>
        </w:tc>
        <w:tc>
          <w:tcPr>
            <w:tcW w:w="1895" w:type="dxa"/>
            <w:vMerge/>
          </w:tcPr>
          <w:p w14:paraId="32ED8853" w14:textId="77777777" w:rsidR="0076284E" w:rsidRPr="00501B3D" w:rsidRDefault="0076284E"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23" w:type="dxa"/>
            <w:vMerge/>
          </w:tcPr>
          <w:p w14:paraId="18A02096" w14:textId="77777777" w:rsidR="0076284E" w:rsidRPr="00501B3D" w:rsidRDefault="0076284E"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5D6760" w:rsidRPr="00501B3D" w14:paraId="2EC999E5" w14:textId="520EDE60" w:rsidTr="000774CA">
        <w:trPr>
          <w:trHeight w:val="1285"/>
        </w:trPr>
        <w:tc>
          <w:tcPr>
            <w:cnfStyle w:val="001000000000" w:firstRow="0" w:lastRow="0" w:firstColumn="1" w:lastColumn="0" w:oddVBand="0" w:evenVBand="0" w:oddHBand="0" w:evenHBand="0" w:firstRowFirstColumn="0" w:firstRowLastColumn="0" w:lastRowFirstColumn="0" w:lastRowLastColumn="0"/>
            <w:tcW w:w="498" w:type="dxa"/>
            <w:vMerge w:val="restart"/>
            <w:shd w:val="clear" w:color="auto" w:fill="D9E2F3" w:themeFill="accent5" w:themeFillTint="33"/>
            <w:textDirection w:val="btLr"/>
          </w:tcPr>
          <w:p w14:paraId="05769694" w14:textId="77777777" w:rsidR="00AB6F23" w:rsidRPr="00501B3D" w:rsidRDefault="00AB6F23" w:rsidP="00877D03">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t>Klienti</w:t>
            </w:r>
          </w:p>
        </w:tc>
        <w:tc>
          <w:tcPr>
            <w:tcW w:w="2260" w:type="dxa"/>
            <w:vMerge w:val="restart"/>
          </w:tcPr>
          <w:p w14:paraId="6AA77EEC" w14:textId="77777777" w:rsidR="002D7E40" w:rsidRPr="00501B3D" w:rsidRDefault="002D7E40"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Nodrošināt ērtu, digitālu un ar pamatfunkciju izpildi savstarpēji integrētu politikas plānošanas procesu iekšlietu nozarē nodarbinātajiem.</w:t>
            </w:r>
          </w:p>
          <w:p w14:paraId="317B6BC1" w14:textId="650DC7BD"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tcPr>
          <w:p w14:paraId="66E1A999" w14:textId="3182A2BC" w:rsidR="00AB6F23" w:rsidRPr="00501B3D" w:rsidRDefault="003D749A"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Iekšlietu noz</w:t>
            </w:r>
            <w:r w:rsidR="001809DB" w:rsidRPr="00501B3D">
              <w:rPr>
                <w:rFonts w:ascii="Times New Roman" w:hAnsi="Times New Roman" w:cs="Times New Roman"/>
                <w:sz w:val="24"/>
                <w:szCs w:val="24"/>
              </w:rPr>
              <w:t>a</w:t>
            </w:r>
            <w:r w:rsidRPr="00501B3D">
              <w:rPr>
                <w:rFonts w:ascii="Times New Roman" w:hAnsi="Times New Roman" w:cs="Times New Roman"/>
                <w:sz w:val="24"/>
                <w:szCs w:val="24"/>
              </w:rPr>
              <w:t>rē nodarbin</w:t>
            </w:r>
            <w:r w:rsidR="00BD0BC5" w:rsidRPr="00501B3D">
              <w:rPr>
                <w:rFonts w:ascii="Times New Roman" w:hAnsi="Times New Roman" w:cs="Times New Roman"/>
                <w:sz w:val="24"/>
                <w:szCs w:val="24"/>
              </w:rPr>
              <w:t>āto</w:t>
            </w:r>
            <w:r w:rsidRPr="00501B3D">
              <w:rPr>
                <w:rFonts w:ascii="Times New Roman" w:hAnsi="Times New Roman" w:cs="Times New Roman"/>
                <w:sz w:val="24"/>
                <w:szCs w:val="24"/>
              </w:rPr>
              <w:t xml:space="preserve">, kas ir iesaistīti politikas plānošanas procesā, apmierinātība ar </w:t>
            </w:r>
            <w:r w:rsidR="00BD0BC5" w:rsidRPr="00501B3D">
              <w:rPr>
                <w:rFonts w:ascii="Times New Roman" w:hAnsi="Times New Roman" w:cs="Times New Roman"/>
                <w:sz w:val="24"/>
                <w:szCs w:val="24"/>
              </w:rPr>
              <w:t>Ministrijas ieviestajiem digitālajiem risinājumiem (</w:t>
            </w:r>
            <w:r w:rsidRPr="00501B3D">
              <w:rPr>
                <w:rFonts w:ascii="Times New Roman" w:hAnsi="Times New Roman" w:cs="Times New Roman"/>
                <w:sz w:val="24"/>
                <w:szCs w:val="24"/>
              </w:rPr>
              <w:t>%)</w:t>
            </w:r>
          </w:p>
        </w:tc>
        <w:tc>
          <w:tcPr>
            <w:tcW w:w="756" w:type="dxa"/>
          </w:tcPr>
          <w:p w14:paraId="7A342E4B" w14:textId="5F281E9C" w:rsidR="00AB6F23" w:rsidRPr="00501B3D" w:rsidRDefault="005E2D3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806" w:type="dxa"/>
          </w:tcPr>
          <w:p w14:paraId="0F474A0A" w14:textId="03273EF2" w:rsidR="00AB6F23" w:rsidRPr="00501B3D" w:rsidRDefault="00E51C97"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1B3D">
              <w:rPr>
                <w:rFonts w:ascii="Times New Roman" w:hAnsi="Times New Roman" w:cs="Times New Roman"/>
                <w:sz w:val="20"/>
                <w:szCs w:val="20"/>
              </w:rPr>
              <w:t>Iekšlietu nozares stratēģija 2023.-2027. gadam ievie</w:t>
            </w:r>
            <w:r w:rsidR="003D3EFE" w:rsidRPr="00501B3D">
              <w:rPr>
                <w:rFonts w:ascii="Times New Roman" w:hAnsi="Times New Roman" w:cs="Times New Roman"/>
                <w:sz w:val="20"/>
                <w:szCs w:val="20"/>
              </w:rPr>
              <w:t>t</w:t>
            </w:r>
            <w:r w:rsidRPr="00501B3D">
              <w:rPr>
                <w:rFonts w:ascii="Times New Roman" w:hAnsi="Times New Roman" w:cs="Times New Roman"/>
                <w:sz w:val="20"/>
                <w:szCs w:val="20"/>
              </w:rPr>
              <w:t>ota IeM plānošanas datu bāzē.</w:t>
            </w:r>
            <w:r w:rsidR="008E7353">
              <w:rPr>
                <w:rStyle w:val="FootnoteReference"/>
                <w:rFonts w:ascii="Times New Roman" w:hAnsi="Times New Roman" w:cs="Times New Roman"/>
                <w:sz w:val="20"/>
                <w:szCs w:val="20"/>
              </w:rPr>
              <w:footnoteReference w:id="2"/>
            </w:r>
          </w:p>
          <w:p w14:paraId="3EE0D9AC" w14:textId="7E4BF662" w:rsidR="005E2D36" w:rsidRPr="00501B3D" w:rsidRDefault="005E2D3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1567" w:type="dxa"/>
          </w:tcPr>
          <w:p w14:paraId="530B8103" w14:textId="09F6411F" w:rsidR="005E2D36" w:rsidRPr="00501B3D" w:rsidRDefault="005E2D3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w:t>
            </w:r>
          </w:p>
        </w:tc>
        <w:tc>
          <w:tcPr>
            <w:tcW w:w="756" w:type="dxa"/>
          </w:tcPr>
          <w:p w14:paraId="06A483E5" w14:textId="472CE900" w:rsidR="005E2D36" w:rsidRPr="00501B3D" w:rsidRDefault="005E2D36" w:rsidP="005E2D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(n)+5 %</w:t>
            </w:r>
          </w:p>
          <w:p w14:paraId="7B612EA5" w14:textId="48974C1B" w:rsidR="005E2D36" w:rsidRPr="00501B3D" w:rsidRDefault="005E2D3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tcPr>
          <w:p w14:paraId="50AEBB65" w14:textId="36D923C4" w:rsidR="005E2D36" w:rsidRPr="00501B3D" w:rsidRDefault="005E2D36" w:rsidP="005E2D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((n)+5%)+3%</w:t>
            </w:r>
          </w:p>
          <w:p w14:paraId="5A4778FC" w14:textId="5F755820" w:rsidR="005E2D36" w:rsidRPr="00501B3D" w:rsidRDefault="005E2D3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02F93DEF" w14:textId="0B890FF3"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Nodrošināt efektīvu pārmaiņu vadību jauno informācijas sistēmu ieviešanas procesā.</w:t>
            </w:r>
          </w:p>
        </w:tc>
        <w:tc>
          <w:tcPr>
            <w:tcW w:w="1923" w:type="dxa"/>
          </w:tcPr>
          <w:p w14:paraId="1F75F872" w14:textId="13E8C933"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NPD</w:t>
            </w:r>
          </w:p>
        </w:tc>
      </w:tr>
      <w:tr w:rsidR="000774CA" w:rsidRPr="00501B3D" w14:paraId="32B4AA8F" w14:textId="2337074B" w:rsidTr="000774CA">
        <w:trPr>
          <w:trHeight w:val="1771"/>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0721B625" w14:textId="77777777" w:rsidR="00AB6F23" w:rsidRPr="00501B3D" w:rsidRDefault="00AB6F23" w:rsidP="00877D03">
            <w:pPr>
              <w:ind w:left="113" w:right="113"/>
              <w:jc w:val="center"/>
              <w:rPr>
                <w:rFonts w:ascii="Times New Roman" w:hAnsi="Times New Roman" w:cs="Times New Roman"/>
                <w:sz w:val="24"/>
                <w:szCs w:val="24"/>
              </w:rPr>
            </w:pPr>
          </w:p>
        </w:tc>
        <w:tc>
          <w:tcPr>
            <w:tcW w:w="2260" w:type="dxa"/>
            <w:vMerge/>
          </w:tcPr>
          <w:p w14:paraId="33556CA7" w14:textId="77777777"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tcPr>
          <w:p w14:paraId="6F3619E2" w14:textId="6E914098"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Iekšlietu nozarē nodarbināto, </w:t>
            </w:r>
            <w:r w:rsidR="00BD0BC5" w:rsidRPr="00501B3D">
              <w:rPr>
                <w:rFonts w:ascii="Times New Roman" w:hAnsi="Times New Roman" w:cs="Times New Roman"/>
                <w:sz w:val="24"/>
                <w:szCs w:val="24"/>
              </w:rPr>
              <w:t>kuri ir informēti par iekšlietu nozare</w:t>
            </w:r>
            <w:r w:rsidR="00332F60" w:rsidRPr="00501B3D">
              <w:rPr>
                <w:rFonts w:ascii="Times New Roman" w:hAnsi="Times New Roman" w:cs="Times New Roman"/>
                <w:sz w:val="24"/>
                <w:szCs w:val="24"/>
              </w:rPr>
              <w:t>s stratēģiskajām prioritātēm</w:t>
            </w:r>
            <w:r w:rsidR="001809DB" w:rsidRPr="00501B3D">
              <w:rPr>
                <w:rFonts w:ascii="Times New Roman" w:hAnsi="Times New Roman" w:cs="Times New Roman"/>
                <w:sz w:val="24"/>
                <w:szCs w:val="24"/>
              </w:rPr>
              <w:t>, īpatsvars</w:t>
            </w:r>
            <w:r w:rsidR="00332F60" w:rsidRPr="00501B3D">
              <w:rPr>
                <w:rFonts w:ascii="Times New Roman" w:hAnsi="Times New Roman" w:cs="Times New Roman"/>
                <w:sz w:val="24"/>
                <w:szCs w:val="24"/>
              </w:rPr>
              <w:t xml:space="preserve"> </w:t>
            </w:r>
            <w:r w:rsidRPr="00501B3D">
              <w:rPr>
                <w:rFonts w:ascii="Times New Roman" w:hAnsi="Times New Roman" w:cs="Times New Roman"/>
                <w:sz w:val="24"/>
                <w:szCs w:val="24"/>
              </w:rPr>
              <w:t>(%)</w:t>
            </w:r>
          </w:p>
        </w:tc>
        <w:tc>
          <w:tcPr>
            <w:tcW w:w="756" w:type="dxa"/>
          </w:tcPr>
          <w:p w14:paraId="098BDD6E" w14:textId="57290DD1" w:rsidR="00AB6F23" w:rsidRPr="00501B3D" w:rsidRDefault="00204C1D"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25</w:t>
            </w:r>
            <w:r w:rsidR="00BD0BC5" w:rsidRPr="00501B3D">
              <w:rPr>
                <w:rFonts w:ascii="Times New Roman" w:hAnsi="Times New Roman" w:cs="Times New Roman"/>
                <w:sz w:val="24"/>
                <w:szCs w:val="24"/>
              </w:rPr>
              <w:t>%</w:t>
            </w:r>
            <w:r w:rsidR="00AF40FF" w:rsidRPr="00501B3D">
              <w:rPr>
                <w:rFonts w:ascii="Times New Roman" w:hAnsi="Times New Roman" w:cs="Times New Roman"/>
                <w:sz w:val="24"/>
                <w:szCs w:val="24"/>
              </w:rPr>
              <w:t>/62%</w:t>
            </w:r>
            <w:r w:rsidR="008E7353">
              <w:rPr>
                <w:rStyle w:val="FootnoteReference"/>
                <w:rFonts w:ascii="Times New Roman" w:hAnsi="Times New Roman" w:cs="Times New Roman"/>
                <w:sz w:val="24"/>
                <w:szCs w:val="24"/>
              </w:rPr>
              <w:footnoteReference w:id="3"/>
            </w:r>
          </w:p>
        </w:tc>
        <w:tc>
          <w:tcPr>
            <w:tcW w:w="806" w:type="dxa"/>
          </w:tcPr>
          <w:p w14:paraId="55BA6ED8" w14:textId="250B6675" w:rsidR="00AB6F23" w:rsidRPr="00501B3D" w:rsidRDefault="00204C1D"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30%</w:t>
            </w:r>
          </w:p>
        </w:tc>
        <w:tc>
          <w:tcPr>
            <w:tcW w:w="1567" w:type="dxa"/>
          </w:tcPr>
          <w:p w14:paraId="6C3B42E9" w14:textId="6D972C8E" w:rsidR="00AB6F23" w:rsidRPr="00501B3D" w:rsidRDefault="00204C1D"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35%</w:t>
            </w:r>
          </w:p>
        </w:tc>
        <w:tc>
          <w:tcPr>
            <w:tcW w:w="756" w:type="dxa"/>
          </w:tcPr>
          <w:p w14:paraId="3882DACF" w14:textId="1A725DEB" w:rsidR="00AB6F23" w:rsidRPr="00501B3D" w:rsidRDefault="00204C1D"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40%</w:t>
            </w:r>
          </w:p>
        </w:tc>
        <w:tc>
          <w:tcPr>
            <w:tcW w:w="783" w:type="dxa"/>
          </w:tcPr>
          <w:p w14:paraId="0F10FBE9" w14:textId="66CB6AB8" w:rsidR="00AB6F23" w:rsidRPr="00501B3D" w:rsidRDefault="00204C1D"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45%</w:t>
            </w:r>
          </w:p>
        </w:tc>
        <w:tc>
          <w:tcPr>
            <w:tcW w:w="1895" w:type="dxa"/>
          </w:tcPr>
          <w:p w14:paraId="199CE2C7" w14:textId="18F62F05" w:rsidR="00AB6F23" w:rsidRPr="00501B3D" w:rsidRDefault="00AB6F23"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Īstenot regulārus komunikācijas pasākumus nozarē nodarbinātajiem par</w:t>
            </w:r>
            <w:r w:rsidR="005728F8" w:rsidRPr="00501B3D">
              <w:rPr>
                <w:rFonts w:ascii="Times New Roman" w:hAnsi="Times New Roman" w:cs="Times New Roman"/>
                <w:sz w:val="24"/>
                <w:szCs w:val="24"/>
              </w:rPr>
              <w:t xml:space="preserve"> </w:t>
            </w:r>
            <w:r w:rsidR="00BD0BC5" w:rsidRPr="00501B3D">
              <w:rPr>
                <w:rFonts w:ascii="Times New Roman" w:hAnsi="Times New Roman" w:cs="Times New Roman"/>
                <w:sz w:val="24"/>
                <w:szCs w:val="24"/>
              </w:rPr>
              <w:t>nozares stratēģiskajām prioritātēm.</w:t>
            </w:r>
          </w:p>
        </w:tc>
        <w:tc>
          <w:tcPr>
            <w:tcW w:w="1923" w:type="dxa"/>
          </w:tcPr>
          <w:p w14:paraId="111F88EA" w14:textId="0D1A583F" w:rsidR="00AB6F23" w:rsidRPr="00501B3D" w:rsidRDefault="00F57E40"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KN, </w:t>
            </w:r>
            <w:r w:rsidRPr="00501B3D">
              <w:rPr>
                <w:rFonts w:ascii="Times New Roman" w:hAnsi="Times New Roman" w:cs="Times New Roman"/>
                <w:sz w:val="24"/>
                <w:szCs w:val="24"/>
              </w:rPr>
              <w:t>NPD</w:t>
            </w:r>
          </w:p>
        </w:tc>
      </w:tr>
      <w:tr w:rsidR="005D6760" w:rsidRPr="00501B3D" w14:paraId="1338A603" w14:textId="057E8920" w:rsidTr="000774CA">
        <w:trPr>
          <w:trHeight w:val="92"/>
        </w:trPr>
        <w:tc>
          <w:tcPr>
            <w:cnfStyle w:val="001000000000" w:firstRow="0" w:lastRow="0" w:firstColumn="1" w:lastColumn="0" w:oddVBand="0" w:evenVBand="0" w:oddHBand="0" w:evenHBand="0" w:firstRowFirstColumn="0" w:firstRowLastColumn="0" w:lastRowFirstColumn="0" w:lastRowLastColumn="0"/>
            <w:tcW w:w="498" w:type="dxa"/>
            <w:vMerge w:val="restart"/>
            <w:shd w:val="clear" w:color="auto" w:fill="D9E2F3" w:themeFill="accent5" w:themeFillTint="33"/>
            <w:textDirection w:val="btLr"/>
          </w:tcPr>
          <w:p w14:paraId="4310F783" w14:textId="77777777" w:rsidR="00C41CDC" w:rsidRPr="00501B3D" w:rsidRDefault="00C41CDC" w:rsidP="00877D03">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lastRenderedPageBreak/>
              <w:t>Procesi</w:t>
            </w:r>
          </w:p>
        </w:tc>
        <w:tc>
          <w:tcPr>
            <w:tcW w:w="2260" w:type="dxa"/>
            <w:vMerge w:val="restart"/>
          </w:tcPr>
          <w:p w14:paraId="75553165"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Ieviest darbības procesu vadību Ministrijā.</w:t>
            </w:r>
          </w:p>
          <w:p w14:paraId="7CF42558" w14:textId="6759A67F"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val="restart"/>
          </w:tcPr>
          <w:p w14:paraId="3D49891F" w14:textId="4CD2B4D8"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Ministrijas procesu skaits.</w:t>
            </w:r>
          </w:p>
        </w:tc>
        <w:tc>
          <w:tcPr>
            <w:tcW w:w="756" w:type="dxa"/>
            <w:vMerge w:val="restart"/>
          </w:tcPr>
          <w:p w14:paraId="491E3052" w14:textId="77E4EFE0"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8</w:t>
            </w:r>
            <w:r w:rsidR="00AF40FF" w:rsidRPr="00501B3D">
              <w:rPr>
                <w:rFonts w:ascii="Times New Roman" w:hAnsi="Times New Roman" w:cs="Times New Roman"/>
                <w:sz w:val="24"/>
                <w:szCs w:val="24"/>
              </w:rPr>
              <w:t>/10</w:t>
            </w:r>
            <w:r w:rsidR="008E7353">
              <w:rPr>
                <w:rStyle w:val="FootnoteReference"/>
                <w:rFonts w:ascii="Times New Roman" w:hAnsi="Times New Roman" w:cs="Times New Roman"/>
                <w:sz w:val="24"/>
                <w:szCs w:val="24"/>
              </w:rPr>
              <w:footnoteReference w:id="4"/>
            </w:r>
          </w:p>
        </w:tc>
        <w:tc>
          <w:tcPr>
            <w:tcW w:w="806" w:type="dxa"/>
            <w:vMerge w:val="restart"/>
          </w:tcPr>
          <w:p w14:paraId="26308D43" w14:textId="7A3D50A2"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+8</w:t>
            </w:r>
          </w:p>
        </w:tc>
        <w:tc>
          <w:tcPr>
            <w:tcW w:w="1567" w:type="dxa"/>
            <w:vMerge w:val="restart"/>
          </w:tcPr>
          <w:p w14:paraId="2FA80427" w14:textId="03E7A488"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+5</w:t>
            </w:r>
          </w:p>
        </w:tc>
        <w:tc>
          <w:tcPr>
            <w:tcW w:w="756" w:type="dxa"/>
            <w:vMerge w:val="restart"/>
          </w:tcPr>
          <w:p w14:paraId="5BB42A94" w14:textId="24FE9CD3"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+5</w:t>
            </w:r>
          </w:p>
        </w:tc>
        <w:tc>
          <w:tcPr>
            <w:tcW w:w="783" w:type="dxa"/>
            <w:vMerge w:val="restart"/>
          </w:tcPr>
          <w:p w14:paraId="29D24483" w14:textId="0D9E6F50"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+5</w:t>
            </w:r>
          </w:p>
        </w:tc>
        <w:tc>
          <w:tcPr>
            <w:tcW w:w="1895" w:type="dxa"/>
          </w:tcPr>
          <w:p w14:paraId="029B19C7" w14:textId="0F1C73D1"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Ministrijas pamatfunkciju, to procesu un aktivitāšu kartēšanu.</w:t>
            </w:r>
          </w:p>
        </w:tc>
        <w:tc>
          <w:tcPr>
            <w:tcW w:w="1923" w:type="dxa"/>
          </w:tcPr>
          <w:p w14:paraId="625F46A6" w14:textId="34DD1C6F"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NPD, visas Ministrijas struktūrvienības </w:t>
            </w:r>
          </w:p>
        </w:tc>
      </w:tr>
      <w:tr w:rsidR="000774CA" w:rsidRPr="00501B3D" w14:paraId="36652CD3" w14:textId="78CE8713" w:rsidTr="000774CA">
        <w:trPr>
          <w:trHeight w:val="92"/>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530E72F0"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6C5C4211"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2A5F810F"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2CE6F218"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6" w:type="dxa"/>
            <w:vMerge/>
          </w:tcPr>
          <w:p w14:paraId="32E24DCC"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7" w:type="dxa"/>
            <w:vMerge/>
          </w:tcPr>
          <w:p w14:paraId="2ECF651A"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65664FB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vMerge/>
          </w:tcPr>
          <w:p w14:paraId="210C0A73"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65F9ACC0" w14:textId="334CFCC8"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izvērtējumu par esošo procesu vadību un izstrādāt priekšlikumus aktivitāšu optimizēšanai.</w:t>
            </w:r>
          </w:p>
        </w:tc>
        <w:tc>
          <w:tcPr>
            <w:tcW w:w="1923" w:type="dxa"/>
          </w:tcPr>
          <w:p w14:paraId="2620D858" w14:textId="696E1FCF"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NPD,</w:t>
            </w:r>
            <w:r w:rsidRPr="00501B3D">
              <w:rPr>
                <w:rFonts w:ascii="Times New Roman" w:hAnsi="Times New Roman" w:cs="Times New Roman"/>
                <w:sz w:val="24"/>
                <w:szCs w:val="24"/>
              </w:rPr>
              <w:t xml:space="preserve"> </w:t>
            </w:r>
            <w:r w:rsidRPr="00501B3D">
              <w:rPr>
                <w:rFonts w:ascii="Times New Roman" w:hAnsi="Times New Roman" w:cs="Times New Roman"/>
                <w:b/>
                <w:sz w:val="24"/>
                <w:szCs w:val="24"/>
              </w:rPr>
              <w:t>visas Ministrijas struktūrvienības</w:t>
            </w:r>
          </w:p>
        </w:tc>
      </w:tr>
      <w:tr w:rsidR="005D6760" w:rsidRPr="00501B3D" w14:paraId="3018C80E" w14:textId="551865EF" w:rsidTr="000774CA">
        <w:trPr>
          <w:trHeight w:val="92"/>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627563C8"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4C81D449"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2BB9CC3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11DB14D9"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6" w:type="dxa"/>
            <w:vMerge/>
          </w:tcPr>
          <w:p w14:paraId="1CBB8048"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7" w:type="dxa"/>
            <w:vMerge/>
          </w:tcPr>
          <w:p w14:paraId="60350D84"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6E54661B"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vMerge/>
          </w:tcPr>
          <w:p w14:paraId="36DDFBE4"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7D152AD2" w14:textId="64340580"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Samazināt procesu skaitu vai tos apvienot atbilstoši izvērtējuma rezultātiem.</w:t>
            </w:r>
          </w:p>
        </w:tc>
        <w:tc>
          <w:tcPr>
            <w:tcW w:w="1923" w:type="dxa"/>
          </w:tcPr>
          <w:p w14:paraId="240B63FB" w14:textId="3075DBE2"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NPD, visas Ministrijas struktūrvienības</w:t>
            </w:r>
          </w:p>
        </w:tc>
      </w:tr>
      <w:tr w:rsidR="000774CA" w:rsidRPr="00501B3D" w14:paraId="125220BB" w14:textId="64076C13" w:rsidTr="000774CA">
        <w:trPr>
          <w:trHeight w:val="92"/>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41BF8E0A"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6CB8DE03"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0B2A04C4"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6605876D"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6" w:type="dxa"/>
            <w:vMerge/>
          </w:tcPr>
          <w:p w14:paraId="7D295196"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7" w:type="dxa"/>
            <w:vMerge/>
          </w:tcPr>
          <w:p w14:paraId="352BE466"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6FE5EF19"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vMerge/>
          </w:tcPr>
          <w:p w14:paraId="63128E5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59EA7332" w14:textId="43D6693B"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grozījumus, ja tādi nepieciešami, iekšējos normatīvajos aktos.</w:t>
            </w:r>
          </w:p>
        </w:tc>
        <w:tc>
          <w:tcPr>
            <w:tcW w:w="1923" w:type="dxa"/>
          </w:tcPr>
          <w:p w14:paraId="0BC9F138" w14:textId="4869A6FC"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NPD</w:t>
            </w:r>
            <w:r w:rsidRPr="00501B3D">
              <w:rPr>
                <w:rFonts w:ascii="Times New Roman" w:hAnsi="Times New Roman" w:cs="Times New Roman"/>
                <w:sz w:val="24"/>
                <w:szCs w:val="24"/>
              </w:rPr>
              <w:t xml:space="preserve">, </w:t>
            </w:r>
            <w:r w:rsidRPr="00501B3D">
              <w:rPr>
                <w:rFonts w:ascii="Times New Roman" w:hAnsi="Times New Roman" w:cs="Times New Roman"/>
                <w:b/>
                <w:sz w:val="24"/>
                <w:szCs w:val="24"/>
              </w:rPr>
              <w:t>visas Ministrijas struktūrvienības</w:t>
            </w:r>
          </w:p>
        </w:tc>
      </w:tr>
      <w:tr w:rsidR="005D6760" w:rsidRPr="00501B3D" w14:paraId="7DF9B0B4" w14:textId="5D379C6D" w:rsidTr="000774CA">
        <w:trPr>
          <w:trHeight w:val="425"/>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7F4575D7"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val="restart"/>
          </w:tcPr>
          <w:p w14:paraId="26C6A527"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Digitalizēt politikas plānošanas procesus.</w:t>
            </w:r>
          </w:p>
        </w:tc>
        <w:tc>
          <w:tcPr>
            <w:tcW w:w="2709" w:type="dxa"/>
          </w:tcPr>
          <w:p w14:paraId="2DBAA050" w14:textId="155EF64E"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Automatizēto atskaišu skaits.</w:t>
            </w:r>
          </w:p>
        </w:tc>
        <w:tc>
          <w:tcPr>
            <w:tcW w:w="756" w:type="dxa"/>
          </w:tcPr>
          <w:p w14:paraId="6BA4DA0D" w14:textId="675926D4"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r w:rsidR="00AF40FF" w:rsidRPr="00501B3D">
              <w:rPr>
                <w:rFonts w:ascii="Times New Roman" w:hAnsi="Times New Roman" w:cs="Times New Roman"/>
                <w:sz w:val="24"/>
                <w:szCs w:val="24"/>
              </w:rPr>
              <w:t>/4</w:t>
            </w:r>
            <w:r w:rsidR="008E7353">
              <w:rPr>
                <w:rStyle w:val="FootnoteReference"/>
                <w:rFonts w:ascii="Times New Roman" w:hAnsi="Times New Roman" w:cs="Times New Roman"/>
                <w:sz w:val="24"/>
                <w:szCs w:val="24"/>
              </w:rPr>
              <w:footnoteReference w:id="5"/>
            </w:r>
          </w:p>
        </w:tc>
        <w:tc>
          <w:tcPr>
            <w:tcW w:w="806" w:type="dxa"/>
          </w:tcPr>
          <w:p w14:paraId="275C2859" w14:textId="765E215F"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w:t>
            </w:r>
          </w:p>
        </w:tc>
        <w:tc>
          <w:tcPr>
            <w:tcW w:w="1567" w:type="dxa"/>
          </w:tcPr>
          <w:p w14:paraId="1584B268" w14:textId="1BD95E9D"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w:t>
            </w:r>
          </w:p>
        </w:tc>
        <w:tc>
          <w:tcPr>
            <w:tcW w:w="756" w:type="dxa"/>
          </w:tcPr>
          <w:p w14:paraId="1EBCEB9E" w14:textId="371F662B"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w:t>
            </w:r>
          </w:p>
        </w:tc>
        <w:tc>
          <w:tcPr>
            <w:tcW w:w="783" w:type="dxa"/>
          </w:tcPr>
          <w:p w14:paraId="501B571D" w14:textId="5F30B36D"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w:t>
            </w:r>
          </w:p>
        </w:tc>
        <w:tc>
          <w:tcPr>
            <w:tcW w:w="1895" w:type="dxa"/>
          </w:tcPr>
          <w:p w14:paraId="43E9DE15" w14:textId="2FA604B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izvērtējumu par labāko tehnisko risinājumu iekšlietu nozarē noteikto mērķu un rezultatīvo rādītāju kaskādei un uzraudzībai.</w:t>
            </w:r>
          </w:p>
        </w:tc>
        <w:tc>
          <w:tcPr>
            <w:tcW w:w="1923" w:type="dxa"/>
          </w:tcPr>
          <w:p w14:paraId="3978EC72" w14:textId="068FA2B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NPD,</w:t>
            </w:r>
            <w:r w:rsidRPr="00501B3D">
              <w:rPr>
                <w:rFonts w:ascii="Times New Roman" w:hAnsi="Times New Roman" w:cs="Times New Roman"/>
                <w:sz w:val="24"/>
                <w:szCs w:val="24"/>
              </w:rPr>
              <w:t xml:space="preserve"> ITDPA</w:t>
            </w:r>
            <w:r w:rsidR="00CB61DB" w:rsidRPr="00501B3D">
              <w:rPr>
                <w:rFonts w:ascii="Times New Roman" w:hAnsi="Times New Roman" w:cs="Times New Roman"/>
                <w:sz w:val="24"/>
                <w:szCs w:val="24"/>
              </w:rPr>
              <w:t>N</w:t>
            </w:r>
            <w:r w:rsidRPr="00501B3D">
              <w:rPr>
                <w:rFonts w:ascii="Times New Roman" w:hAnsi="Times New Roman" w:cs="Times New Roman"/>
                <w:sz w:val="24"/>
                <w:szCs w:val="24"/>
              </w:rPr>
              <w:t xml:space="preserve">, </w:t>
            </w:r>
            <w:r w:rsidRPr="00501B3D">
              <w:rPr>
                <w:rFonts w:ascii="Times New Roman" w:hAnsi="Times New Roman" w:cs="Times New Roman"/>
                <w:b/>
                <w:sz w:val="24"/>
                <w:szCs w:val="24"/>
              </w:rPr>
              <w:t>FVD</w:t>
            </w:r>
          </w:p>
        </w:tc>
      </w:tr>
      <w:tr w:rsidR="000774CA" w:rsidRPr="00501B3D" w14:paraId="322F6F8F" w14:textId="77777777" w:rsidTr="000774CA">
        <w:trPr>
          <w:trHeight w:val="460"/>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7922152D"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2B9357D5"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tcPr>
          <w:p w14:paraId="5F5C58BC"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Datu vizualizācijas rīkam pieslēgto datu bāžu skaits.</w:t>
            </w:r>
          </w:p>
          <w:p w14:paraId="4E9D6337" w14:textId="1758F95E"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(“Izpildīts”</w:t>
            </w:r>
            <w:r w:rsidR="00100F82" w:rsidRPr="00501B3D">
              <w:rPr>
                <w:rFonts w:ascii="Times New Roman" w:hAnsi="Times New Roman" w:cs="Times New Roman"/>
                <w:sz w:val="24"/>
                <w:szCs w:val="24"/>
              </w:rPr>
              <w:t>(</w:t>
            </w:r>
            <w:r w:rsidR="00042794" w:rsidRPr="00501B3D">
              <w:rPr>
                <w:rFonts w:ascii="Times New Roman" w:hAnsi="Times New Roman" w:cs="Times New Roman"/>
                <w:sz w:val="24"/>
                <w:szCs w:val="24"/>
              </w:rPr>
              <w:t>V</w:t>
            </w:r>
            <w:r w:rsidR="00100F82" w:rsidRPr="00501B3D">
              <w:rPr>
                <w:rFonts w:ascii="Times New Roman" w:hAnsi="Times New Roman" w:cs="Times New Roman"/>
                <w:sz w:val="24"/>
                <w:szCs w:val="24"/>
              </w:rPr>
              <w:t>)</w:t>
            </w:r>
            <w:r w:rsidRPr="00501B3D">
              <w:rPr>
                <w:rFonts w:ascii="Times New Roman" w:hAnsi="Times New Roman" w:cs="Times New Roman"/>
                <w:sz w:val="24"/>
                <w:szCs w:val="24"/>
              </w:rPr>
              <w:t>/”Neizpildīts”</w:t>
            </w:r>
            <w:r w:rsidR="00042794" w:rsidRPr="00501B3D">
              <w:rPr>
                <w:rFonts w:ascii="Times New Roman" w:hAnsi="Times New Roman" w:cs="Times New Roman"/>
                <w:sz w:val="24"/>
                <w:szCs w:val="24"/>
              </w:rPr>
              <w:t xml:space="preserve"> (X)</w:t>
            </w:r>
            <w:r w:rsidRPr="00501B3D">
              <w:rPr>
                <w:rFonts w:ascii="Times New Roman" w:hAnsi="Times New Roman" w:cs="Times New Roman"/>
                <w:sz w:val="24"/>
                <w:szCs w:val="24"/>
              </w:rPr>
              <w:t>)</w:t>
            </w:r>
          </w:p>
        </w:tc>
        <w:tc>
          <w:tcPr>
            <w:tcW w:w="756" w:type="dxa"/>
          </w:tcPr>
          <w:p w14:paraId="06F410D9" w14:textId="65C3794A" w:rsidR="00C41CDC" w:rsidRPr="00501B3D" w:rsidRDefault="00042794"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w:t>
            </w:r>
            <w:r w:rsidR="00AF40FF" w:rsidRPr="00501B3D">
              <w:rPr>
                <w:rFonts w:ascii="Times New Roman" w:hAnsi="Times New Roman" w:cs="Times New Roman"/>
                <w:sz w:val="24"/>
                <w:szCs w:val="24"/>
              </w:rPr>
              <w:t>/Izpildīts (SAP BI pieslēgtas 4 atskaites)</w:t>
            </w:r>
            <w:r w:rsidR="008E7353">
              <w:rPr>
                <w:rStyle w:val="FootnoteReference"/>
                <w:rFonts w:ascii="Times New Roman" w:hAnsi="Times New Roman" w:cs="Times New Roman"/>
                <w:sz w:val="24"/>
                <w:szCs w:val="24"/>
              </w:rPr>
              <w:footnoteReference w:id="6"/>
            </w:r>
          </w:p>
        </w:tc>
        <w:tc>
          <w:tcPr>
            <w:tcW w:w="806" w:type="dxa"/>
          </w:tcPr>
          <w:p w14:paraId="5C36FC78" w14:textId="502608F2" w:rsidR="00C41CDC" w:rsidRPr="00501B3D" w:rsidRDefault="00042794"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V</w:t>
            </w:r>
          </w:p>
        </w:tc>
        <w:tc>
          <w:tcPr>
            <w:tcW w:w="1567" w:type="dxa"/>
          </w:tcPr>
          <w:p w14:paraId="448064CE" w14:textId="5F63EE5B" w:rsidR="00C41CDC" w:rsidRPr="00501B3D" w:rsidRDefault="00042794"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V</w:t>
            </w:r>
          </w:p>
        </w:tc>
        <w:tc>
          <w:tcPr>
            <w:tcW w:w="756" w:type="dxa"/>
          </w:tcPr>
          <w:p w14:paraId="0CA80B2E" w14:textId="15803FCC" w:rsidR="00C41CDC" w:rsidRPr="00501B3D" w:rsidRDefault="00042794"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V</w:t>
            </w:r>
          </w:p>
        </w:tc>
        <w:tc>
          <w:tcPr>
            <w:tcW w:w="783" w:type="dxa"/>
          </w:tcPr>
          <w:p w14:paraId="25C19D1C" w14:textId="09C8641B" w:rsidR="00C41CDC" w:rsidRPr="00501B3D" w:rsidRDefault="00042794"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01B3D">
              <w:rPr>
                <w:rFonts w:ascii="Times New Roman" w:hAnsi="Times New Roman" w:cs="Times New Roman"/>
                <w:sz w:val="24"/>
                <w:szCs w:val="24"/>
              </w:rPr>
              <w:t>V</w:t>
            </w:r>
          </w:p>
        </w:tc>
        <w:tc>
          <w:tcPr>
            <w:tcW w:w="1895" w:type="dxa"/>
          </w:tcPr>
          <w:p w14:paraId="0FB4F3E5" w14:textId="43A2B8B8"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Atbilstoši veiktajam izvērtējumam nodrošināt tehniskā risinājuma ieviešanu.</w:t>
            </w:r>
          </w:p>
        </w:tc>
        <w:tc>
          <w:tcPr>
            <w:tcW w:w="1923" w:type="dxa"/>
          </w:tcPr>
          <w:p w14:paraId="3F8A20C7" w14:textId="672682F6"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NPD,</w:t>
            </w:r>
            <w:r w:rsidRPr="00501B3D">
              <w:rPr>
                <w:rFonts w:ascii="Times New Roman" w:hAnsi="Times New Roman" w:cs="Times New Roman"/>
                <w:sz w:val="24"/>
                <w:szCs w:val="24"/>
              </w:rPr>
              <w:t xml:space="preserve"> ITDPA</w:t>
            </w:r>
            <w:r w:rsidR="00CB61DB" w:rsidRPr="00501B3D">
              <w:rPr>
                <w:rFonts w:ascii="Times New Roman" w:hAnsi="Times New Roman" w:cs="Times New Roman"/>
                <w:sz w:val="24"/>
                <w:szCs w:val="24"/>
              </w:rPr>
              <w:t>N</w:t>
            </w:r>
            <w:r w:rsidRPr="00501B3D">
              <w:rPr>
                <w:rFonts w:ascii="Times New Roman" w:hAnsi="Times New Roman" w:cs="Times New Roman"/>
                <w:sz w:val="24"/>
                <w:szCs w:val="24"/>
              </w:rPr>
              <w:t>,</w:t>
            </w:r>
          </w:p>
          <w:p w14:paraId="2BFD5EED" w14:textId="1BDBD38C"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FVD</w:t>
            </w:r>
          </w:p>
        </w:tc>
      </w:tr>
      <w:tr w:rsidR="005D6760" w:rsidRPr="00501B3D" w14:paraId="1EB6C636" w14:textId="66786C3F" w:rsidTr="000774CA">
        <w:trPr>
          <w:trHeight w:val="690"/>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63BDF69B"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val="restart"/>
          </w:tcPr>
          <w:p w14:paraId="09AA955E" w14:textId="66F39E13"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Nodrošināt visus nodarbinātos ar nepieciešamajām zināšanām par darbības procesu vadības modeli un   procesu </w:t>
            </w:r>
            <w:r w:rsidRPr="00501B3D">
              <w:rPr>
                <w:rFonts w:ascii="Times New Roman" w:hAnsi="Times New Roman" w:cs="Times New Roman"/>
                <w:sz w:val="24"/>
                <w:szCs w:val="24"/>
              </w:rPr>
              <w:lastRenderedPageBreak/>
              <w:t>pārvaldības sistēmu.</w:t>
            </w:r>
          </w:p>
        </w:tc>
        <w:tc>
          <w:tcPr>
            <w:tcW w:w="2709" w:type="dxa"/>
            <w:vMerge w:val="restart"/>
          </w:tcPr>
          <w:p w14:paraId="7030F0B1" w14:textId="0CD0B1BE"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lastRenderedPageBreak/>
              <w:t>Ministrijas nodarbināto, kas gada ietvaros ir paaugstinājuši profesionālo kvalifikāciju, īpatsvars (%)</w:t>
            </w:r>
          </w:p>
        </w:tc>
        <w:tc>
          <w:tcPr>
            <w:tcW w:w="756" w:type="dxa"/>
            <w:vMerge w:val="restart"/>
          </w:tcPr>
          <w:p w14:paraId="208EA353" w14:textId="7726E63B"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70%</w:t>
            </w:r>
            <w:r w:rsidR="00C32896" w:rsidRPr="00501B3D">
              <w:rPr>
                <w:rFonts w:ascii="Times New Roman" w:hAnsi="Times New Roman" w:cs="Times New Roman"/>
                <w:sz w:val="24"/>
                <w:szCs w:val="24"/>
              </w:rPr>
              <w:t>/40%</w:t>
            </w:r>
            <w:r w:rsidR="008E7353">
              <w:rPr>
                <w:rStyle w:val="FootnoteReference"/>
                <w:rFonts w:ascii="Times New Roman" w:hAnsi="Times New Roman" w:cs="Times New Roman"/>
                <w:sz w:val="24"/>
                <w:szCs w:val="24"/>
              </w:rPr>
              <w:footnoteReference w:id="7"/>
            </w:r>
          </w:p>
        </w:tc>
        <w:tc>
          <w:tcPr>
            <w:tcW w:w="806" w:type="dxa"/>
            <w:vMerge w:val="restart"/>
          </w:tcPr>
          <w:p w14:paraId="1B1C65B8" w14:textId="451CE782"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75%</w:t>
            </w:r>
          </w:p>
        </w:tc>
        <w:tc>
          <w:tcPr>
            <w:tcW w:w="1567" w:type="dxa"/>
            <w:vMerge w:val="restart"/>
          </w:tcPr>
          <w:p w14:paraId="2B771105" w14:textId="5E7A2E34"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80%</w:t>
            </w:r>
          </w:p>
        </w:tc>
        <w:tc>
          <w:tcPr>
            <w:tcW w:w="756" w:type="dxa"/>
            <w:vMerge w:val="restart"/>
          </w:tcPr>
          <w:p w14:paraId="11D4CA1B" w14:textId="2484393D"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90%</w:t>
            </w:r>
          </w:p>
        </w:tc>
        <w:tc>
          <w:tcPr>
            <w:tcW w:w="783" w:type="dxa"/>
            <w:vMerge w:val="restart"/>
          </w:tcPr>
          <w:p w14:paraId="2B5A26C1" w14:textId="2E8D3DEB"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95%</w:t>
            </w:r>
          </w:p>
        </w:tc>
        <w:tc>
          <w:tcPr>
            <w:tcW w:w="1895" w:type="dxa"/>
          </w:tcPr>
          <w:p w14:paraId="3C8D95C0" w14:textId="2CE8F4DF"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Organizēt un vadīt apmācības jaunajā procesā un sistēmas izmantošanā.</w:t>
            </w:r>
          </w:p>
        </w:tc>
        <w:tc>
          <w:tcPr>
            <w:tcW w:w="1923" w:type="dxa"/>
          </w:tcPr>
          <w:p w14:paraId="34DD9F27" w14:textId="66A8A9B6"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 xml:space="preserve">NPD, FVD, IC, </w:t>
            </w:r>
            <w:r w:rsidRPr="00501B3D">
              <w:rPr>
                <w:rFonts w:ascii="Times New Roman" w:hAnsi="Times New Roman" w:cs="Times New Roman"/>
                <w:sz w:val="24"/>
                <w:szCs w:val="24"/>
              </w:rPr>
              <w:t>PVAD</w:t>
            </w:r>
          </w:p>
        </w:tc>
      </w:tr>
      <w:tr w:rsidR="000774CA" w:rsidRPr="00501B3D" w14:paraId="1C0512AF" w14:textId="352F7515" w:rsidTr="000774CA">
        <w:trPr>
          <w:trHeight w:val="690"/>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500CD18D"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16CFF613"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4320074D"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3EC4EAFE"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6" w:type="dxa"/>
            <w:vMerge/>
          </w:tcPr>
          <w:p w14:paraId="2377D9D5"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7" w:type="dxa"/>
            <w:vMerge/>
          </w:tcPr>
          <w:p w14:paraId="47EC85C3"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57D46B52"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vMerge/>
          </w:tcPr>
          <w:p w14:paraId="0B260EB2"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4E0E7757" w14:textId="25685D73"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Nodrošināt regulāru komunikāciju ar </w:t>
            </w:r>
            <w:r w:rsidRPr="00501B3D">
              <w:rPr>
                <w:rFonts w:ascii="Times New Roman" w:hAnsi="Times New Roman" w:cs="Times New Roman"/>
                <w:sz w:val="24"/>
                <w:szCs w:val="24"/>
              </w:rPr>
              <w:lastRenderedPageBreak/>
              <w:t>Ministrijas nodarbinātajiem un padotībā esošo iestāžu pārstāvjiem par jaunajiem risinājumiem.</w:t>
            </w:r>
          </w:p>
        </w:tc>
        <w:tc>
          <w:tcPr>
            <w:tcW w:w="1923" w:type="dxa"/>
          </w:tcPr>
          <w:p w14:paraId="78AB7F44" w14:textId="7855A1E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lastRenderedPageBreak/>
              <w:t xml:space="preserve">NPD, </w:t>
            </w:r>
            <w:r w:rsidRPr="00501B3D">
              <w:rPr>
                <w:rFonts w:ascii="Times New Roman" w:hAnsi="Times New Roman" w:cs="Times New Roman"/>
                <w:sz w:val="24"/>
                <w:szCs w:val="24"/>
              </w:rPr>
              <w:t>KN, FVD, IC</w:t>
            </w:r>
          </w:p>
        </w:tc>
      </w:tr>
      <w:tr w:rsidR="005D6760" w:rsidRPr="00501B3D" w14:paraId="4C7FD773" w14:textId="663E4F55" w:rsidTr="000774CA">
        <w:trPr>
          <w:trHeight w:val="1656"/>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64DEC8D3"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val="restart"/>
          </w:tcPr>
          <w:p w14:paraId="36450075"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Uzturēt stabilu personāla mainību Ministrijā un ar to saistīto institucionālās atmiņas saglabāšanu.</w:t>
            </w:r>
          </w:p>
          <w:p w14:paraId="51CB443B" w14:textId="6F15AA23"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val="restart"/>
          </w:tcPr>
          <w:p w14:paraId="7E0575C1" w14:textId="6980F2F3"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Personāla mainība (%)</w:t>
            </w:r>
          </w:p>
        </w:tc>
        <w:tc>
          <w:tcPr>
            <w:tcW w:w="756" w:type="dxa"/>
            <w:vMerge w:val="restart"/>
          </w:tcPr>
          <w:p w14:paraId="328363A7" w14:textId="4C032DF9"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w:t>
            </w:r>
            <w:r w:rsidR="008049CE" w:rsidRPr="00501B3D">
              <w:rPr>
                <w:rFonts w:ascii="Times New Roman" w:hAnsi="Times New Roman" w:cs="Times New Roman"/>
                <w:sz w:val="24"/>
                <w:szCs w:val="24"/>
              </w:rPr>
              <w:t>/6%</w:t>
            </w:r>
            <w:r w:rsidR="008E7353">
              <w:rPr>
                <w:rStyle w:val="FootnoteReference"/>
                <w:rFonts w:ascii="Times New Roman" w:hAnsi="Times New Roman" w:cs="Times New Roman"/>
                <w:sz w:val="24"/>
                <w:szCs w:val="24"/>
              </w:rPr>
              <w:footnoteReference w:id="8"/>
            </w:r>
          </w:p>
        </w:tc>
        <w:tc>
          <w:tcPr>
            <w:tcW w:w="806" w:type="dxa"/>
            <w:vMerge w:val="restart"/>
          </w:tcPr>
          <w:p w14:paraId="7592BEED" w14:textId="5D155F0E"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w:t>
            </w:r>
          </w:p>
        </w:tc>
        <w:tc>
          <w:tcPr>
            <w:tcW w:w="1567" w:type="dxa"/>
            <w:vMerge w:val="restart"/>
          </w:tcPr>
          <w:p w14:paraId="19B39252" w14:textId="2E3AF110"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w:t>
            </w:r>
          </w:p>
        </w:tc>
        <w:tc>
          <w:tcPr>
            <w:tcW w:w="756" w:type="dxa"/>
            <w:vMerge w:val="restart"/>
          </w:tcPr>
          <w:p w14:paraId="19010FF6" w14:textId="4413BF18"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w:t>
            </w:r>
          </w:p>
        </w:tc>
        <w:tc>
          <w:tcPr>
            <w:tcW w:w="783" w:type="dxa"/>
            <w:vMerge w:val="restart"/>
          </w:tcPr>
          <w:p w14:paraId="58CDFE5F" w14:textId="43CFE755"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w:t>
            </w:r>
          </w:p>
        </w:tc>
        <w:tc>
          <w:tcPr>
            <w:tcW w:w="1895" w:type="dxa"/>
          </w:tcPr>
          <w:p w14:paraId="71A47094" w14:textId="5882B9DB" w:rsidR="00F069B6"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Veikt pasākumus atalgojuma paaugstināšanai, nodrošinot Ministrijas nodarbināto konkurētspēju. </w:t>
            </w:r>
          </w:p>
        </w:tc>
        <w:tc>
          <w:tcPr>
            <w:tcW w:w="1923" w:type="dxa"/>
            <w:vMerge w:val="restart"/>
          </w:tcPr>
          <w:p w14:paraId="7F7664FD" w14:textId="4AEE8661"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FVD, PVAD</w:t>
            </w:r>
          </w:p>
        </w:tc>
      </w:tr>
      <w:tr w:rsidR="000774CA" w:rsidRPr="00501B3D" w14:paraId="14B21DE4" w14:textId="77777777" w:rsidTr="000774CA">
        <w:trPr>
          <w:trHeight w:val="1656"/>
        </w:trPr>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extDirection w:val="btLr"/>
          </w:tcPr>
          <w:p w14:paraId="3D6E8280" w14:textId="77777777" w:rsidR="00C41CDC" w:rsidRPr="00501B3D" w:rsidRDefault="00C41CDC" w:rsidP="00877D03">
            <w:pPr>
              <w:ind w:left="113" w:right="113"/>
              <w:jc w:val="center"/>
              <w:rPr>
                <w:rFonts w:ascii="Times New Roman" w:hAnsi="Times New Roman" w:cs="Times New Roman"/>
                <w:b w:val="0"/>
                <w:sz w:val="24"/>
                <w:szCs w:val="24"/>
              </w:rPr>
            </w:pPr>
          </w:p>
        </w:tc>
        <w:tc>
          <w:tcPr>
            <w:tcW w:w="2260" w:type="dxa"/>
            <w:vMerge/>
          </w:tcPr>
          <w:p w14:paraId="53913A3F"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09" w:type="dxa"/>
            <w:vMerge/>
          </w:tcPr>
          <w:p w14:paraId="0574634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5D1031FD"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6" w:type="dxa"/>
            <w:vMerge/>
          </w:tcPr>
          <w:p w14:paraId="515AA966"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7" w:type="dxa"/>
            <w:vMerge/>
          </w:tcPr>
          <w:p w14:paraId="1E219CE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0A8C09A8"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83" w:type="dxa"/>
            <w:vMerge/>
          </w:tcPr>
          <w:p w14:paraId="395B2210" w14:textId="77777777" w:rsidR="00C41CDC" w:rsidRPr="00501B3D" w:rsidRDefault="00C41CDC"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6630386B" w14:textId="3F355C6D" w:rsidR="00C41CDC" w:rsidRPr="00501B3D" w:rsidRDefault="00BB476E"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Īstenota v</w:t>
            </w:r>
            <w:r w:rsidR="00C41CDC" w:rsidRPr="00501B3D">
              <w:rPr>
                <w:rFonts w:ascii="Times New Roman" w:hAnsi="Times New Roman" w:cs="Times New Roman"/>
                <w:sz w:val="24"/>
                <w:szCs w:val="24"/>
              </w:rPr>
              <w:t>idējā līmeņa vadītāju apmācība.</w:t>
            </w:r>
          </w:p>
        </w:tc>
        <w:tc>
          <w:tcPr>
            <w:tcW w:w="1923" w:type="dxa"/>
            <w:vMerge/>
          </w:tcPr>
          <w:p w14:paraId="5E6CF2F9" w14:textId="77777777" w:rsidR="00C41CDC" w:rsidRPr="00501B3D" w:rsidRDefault="00C41CDC"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5D6760" w:rsidRPr="00501B3D" w14:paraId="5D947E05" w14:textId="7C0D3A70" w:rsidTr="000774CA">
        <w:tc>
          <w:tcPr>
            <w:cnfStyle w:val="001000000000" w:firstRow="0" w:lastRow="0" w:firstColumn="1" w:lastColumn="0" w:oddVBand="0" w:evenVBand="0" w:oddHBand="0" w:evenHBand="0" w:firstRowFirstColumn="0" w:firstRowLastColumn="0" w:lastRowFirstColumn="0" w:lastRowLastColumn="0"/>
            <w:tcW w:w="498" w:type="dxa"/>
            <w:vMerge w:val="restart"/>
            <w:shd w:val="clear" w:color="auto" w:fill="D9E2F3" w:themeFill="accent5" w:themeFillTint="33"/>
            <w:textDirection w:val="btLr"/>
          </w:tcPr>
          <w:p w14:paraId="5F793004" w14:textId="77777777" w:rsidR="006242EA" w:rsidRPr="00501B3D" w:rsidRDefault="006242EA" w:rsidP="00877D03">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t>Finanses</w:t>
            </w:r>
          </w:p>
        </w:tc>
        <w:tc>
          <w:tcPr>
            <w:tcW w:w="2260" w:type="dxa"/>
          </w:tcPr>
          <w:p w14:paraId="4733F01B" w14:textId="0F37DBD4" w:rsidR="006242EA" w:rsidRPr="00501B3D" w:rsidRDefault="00462218" w:rsidP="0050239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01B3D">
              <w:rPr>
                <w:rFonts w:ascii="Times New Roman" w:hAnsi="Times New Roman" w:cs="Times New Roman"/>
                <w:color w:val="000000" w:themeColor="text1"/>
                <w:sz w:val="24"/>
                <w:szCs w:val="24"/>
              </w:rPr>
              <w:t xml:space="preserve">Piesaistīt </w:t>
            </w:r>
            <w:r w:rsidR="0050239A" w:rsidRPr="00501B3D">
              <w:rPr>
                <w:rFonts w:ascii="Times New Roman" w:hAnsi="Times New Roman" w:cs="Times New Roman"/>
                <w:color w:val="000000" w:themeColor="text1"/>
                <w:sz w:val="24"/>
                <w:szCs w:val="24"/>
              </w:rPr>
              <w:t xml:space="preserve">ārvalstu finanšu instrumentus </w:t>
            </w:r>
            <w:r w:rsidRPr="00501B3D">
              <w:rPr>
                <w:rFonts w:ascii="Times New Roman" w:hAnsi="Times New Roman" w:cs="Times New Roman"/>
                <w:color w:val="000000" w:themeColor="text1"/>
                <w:sz w:val="24"/>
                <w:szCs w:val="24"/>
              </w:rPr>
              <w:t xml:space="preserve">vai citu finanšu instrumentu līdzekļus </w:t>
            </w:r>
            <w:r w:rsidRPr="00501B3D">
              <w:rPr>
                <w:rFonts w:ascii="Times New Roman" w:hAnsi="Times New Roman" w:cs="Times New Roman"/>
                <w:color w:val="000000" w:themeColor="text1"/>
                <w:sz w:val="24"/>
                <w:szCs w:val="24"/>
              </w:rPr>
              <w:lastRenderedPageBreak/>
              <w:t xml:space="preserve">tehnisko specifikāciju un jaunās </w:t>
            </w:r>
            <w:r w:rsidR="0050239A" w:rsidRPr="00501B3D">
              <w:rPr>
                <w:rFonts w:ascii="Times New Roman" w:hAnsi="Times New Roman" w:cs="Times New Roman"/>
                <w:color w:val="000000" w:themeColor="text1"/>
                <w:sz w:val="24"/>
                <w:szCs w:val="24"/>
              </w:rPr>
              <w:t>informācijas apstrādes risinājumu</w:t>
            </w:r>
            <w:r w:rsidRPr="00501B3D">
              <w:rPr>
                <w:rFonts w:ascii="Times New Roman" w:hAnsi="Times New Roman" w:cs="Times New Roman"/>
                <w:color w:val="000000" w:themeColor="text1"/>
                <w:sz w:val="24"/>
                <w:szCs w:val="24"/>
              </w:rPr>
              <w:t>.</w:t>
            </w:r>
          </w:p>
        </w:tc>
        <w:tc>
          <w:tcPr>
            <w:tcW w:w="2709" w:type="dxa"/>
          </w:tcPr>
          <w:p w14:paraId="2E8F0FCE" w14:textId="233FE81A" w:rsidR="006242EA" w:rsidRPr="00501B3D" w:rsidRDefault="007B21C0" w:rsidP="007B21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lastRenderedPageBreak/>
              <w:t xml:space="preserve">Apstiprināti </w:t>
            </w:r>
            <w:r w:rsidR="00F27CD2" w:rsidRPr="00501B3D">
              <w:rPr>
                <w:rFonts w:ascii="Times New Roman" w:hAnsi="Times New Roman" w:cs="Times New Roman"/>
                <w:sz w:val="24"/>
                <w:szCs w:val="24"/>
              </w:rPr>
              <w:t xml:space="preserve">projektu </w:t>
            </w:r>
            <w:r w:rsidR="00C41CDC" w:rsidRPr="00501B3D">
              <w:rPr>
                <w:rFonts w:ascii="Times New Roman" w:hAnsi="Times New Roman" w:cs="Times New Roman"/>
                <w:sz w:val="24"/>
                <w:szCs w:val="24"/>
              </w:rPr>
              <w:t xml:space="preserve">pieteikumi. </w:t>
            </w:r>
            <w:r w:rsidR="00042794" w:rsidRPr="00501B3D">
              <w:rPr>
                <w:rFonts w:ascii="Times New Roman" w:hAnsi="Times New Roman" w:cs="Times New Roman"/>
                <w:sz w:val="24"/>
                <w:szCs w:val="24"/>
              </w:rPr>
              <w:t>(“Izpildīts”(V)/”Neizpildīts” (X))</w:t>
            </w:r>
          </w:p>
        </w:tc>
        <w:tc>
          <w:tcPr>
            <w:tcW w:w="756" w:type="dxa"/>
          </w:tcPr>
          <w:p w14:paraId="415E1D10" w14:textId="7C895107" w:rsidR="006242EA" w:rsidRPr="00501B3D" w:rsidRDefault="0050239A"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806" w:type="dxa"/>
          </w:tcPr>
          <w:p w14:paraId="528DD6BD" w14:textId="0F13DF71" w:rsidR="006242EA" w:rsidRPr="00501B3D" w:rsidRDefault="009D41D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1567" w:type="dxa"/>
          </w:tcPr>
          <w:p w14:paraId="2673E807" w14:textId="42BB59F6" w:rsidR="006242EA" w:rsidRPr="00501B3D" w:rsidRDefault="009D41D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756" w:type="dxa"/>
          </w:tcPr>
          <w:p w14:paraId="47992671" w14:textId="32548D35" w:rsidR="006242EA" w:rsidRPr="00501B3D" w:rsidRDefault="009D41D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783" w:type="dxa"/>
          </w:tcPr>
          <w:p w14:paraId="596484FB" w14:textId="4F04415C" w:rsidR="006242EA" w:rsidRPr="00501B3D" w:rsidRDefault="009D41D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1895" w:type="dxa"/>
          </w:tcPr>
          <w:p w14:paraId="004E796A" w14:textId="3D09F6BF" w:rsidR="006242EA" w:rsidRPr="00501B3D" w:rsidRDefault="006242EA" w:rsidP="007B21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Sagatavot</w:t>
            </w:r>
            <w:r w:rsidR="00B91F06" w:rsidRPr="00501B3D">
              <w:rPr>
                <w:rFonts w:ascii="Times New Roman" w:hAnsi="Times New Roman" w:cs="Times New Roman"/>
                <w:sz w:val="24"/>
                <w:szCs w:val="24"/>
              </w:rPr>
              <w:t>,</w:t>
            </w:r>
            <w:r w:rsidR="007B21C0" w:rsidRPr="00501B3D">
              <w:rPr>
                <w:rFonts w:ascii="Times New Roman" w:hAnsi="Times New Roman" w:cs="Times New Roman"/>
                <w:sz w:val="24"/>
                <w:szCs w:val="24"/>
              </w:rPr>
              <w:t xml:space="preserve"> iesniegt</w:t>
            </w:r>
            <w:r w:rsidR="00B91F06" w:rsidRPr="00501B3D">
              <w:rPr>
                <w:rFonts w:ascii="Times New Roman" w:hAnsi="Times New Roman" w:cs="Times New Roman"/>
                <w:sz w:val="24"/>
                <w:szCs w:val="24"/>
              </w:rPr>
              <w:t xml:space="preserve"> un</w:t>
            </w:r>
            <w:r w:rsidR="005D6760" w:rsidRPr="00501B3D">
              <w:rPr>
                <w:rFonts w:ascii="Times New Roman" w:hAnsi="Times New Roman" w:cs="Times New Roman"/>
                <w:sz w:val="24"/>
                <w:szCs w:val="24"/>
              </w:rPr>
              <w:t xml:space="preserve"> </w:t>
            </w:r>
            <w:r w:rsidR="007B21C0" w:rsidRPr="00501B3D">
              <w:rPr>
                <w:rFonts w:ascii="Times New Roman" w:hAnsi="Times New Roman" w:cs="Times New Roman"/>
                <w:sz w:val="24"/>
                <w:szCs w:val="24"/>
              </w:rPr>
              <w:t>apstiprināt</w:t>
            </w:r>
            <w:r w:rsidRPr="00501B3D">
              <w:rPr>
                <w:rFonts w:ascii="Times New Roman" w:hAnsi="Times New Roman" w:cs="Times New Roman"/>
                <w:sz w:val="24"/>
                <w:szCs w:val="24"/>
              </w:rPr>
              <w:t xml:space="preserve"> </w:t>
            </w:r>
            <w:r w:rsidR="007B21C0" w:rsidRPr="00501B3D">
              <w:rPr>
                <w:rFonts w:ascii="Times New Roman" w:hAnsi="Times New Roman" w:cs="Times New Roman"/>
                <w:sz w:val="24"/>
                <w:szCs w:val="24"/>
              </w:rPr>
              <w:t xml:space="preserve"> ārvalstu finanšu instrumentu </w:t>
            </w:r>
            <w:r w:rsidR="00F7691B" w:rsidRPr="00501B3D">
              <w:rPr>
                <w:rFonts w:ascii="Times New Roman" w:hAnsi="Times New Roman" w:cs="Times New Roman"/>
                <w:sz w:val="24"/>
                <w:szCs w:val="24"/>
              </w:rPr>
              <w:t>pieteikumus</w:t>
            </w:r>
            <w:r w:rsidRPr="00501B3D">
              <w:rPr>
                <w:rFonts w:ascii="Times New Roman" w:hAnsi="Times New Roman" w:cs="Times New Roman"/>
                <w:sz w:val="24"/>
                <w:szCs w:val="24"/>
              </w:rPr>
              <w:t xml:space="preserve"> </w:t>
            </w:r>
            <w:r w:rsidRPr="00501B3D">
              <w:rPr>
                <w:rFonts w:ascii="Times New Roman" w:hAnsi="Times New Roman" w:cs="Times New Roman"/>
                <w:sz w:val="24"/>
                <w:szCs w:val="24"/>
              </w:rPr>
              <w:lastRenderedPageBreak/>
              <w:t>finansējuma piesaistei.</w:t>
            </w:r>
          </w:p>
        </w:tc>
        <w:tc>
          <w:tcPr>
            <w:tcW w:w="1923" w:type="dxa"/>
          </w:tcPr>
          <w:p w14:paraId="2287D6B2" w14:textId="4E8B9AED" w:rsidR="006242EA" w:rsidRPr="00501B3D" w:rsidRDefault="00263D45"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lastRenderedPageBreak/>
              <w:t>ĀIAUD,</w:t>
            </w:r>
            <w:r w:rsidR="0050239A" w:rsidRPr="00501B3D">
              <w:rPr>
                <w:rFonts w:ascii="Times New Roman" w:hAnsi="Times New Roman" w:cs="Times New Roman"/>
                <w:b/>
                <w:sz w:val="24"/>
                <w:szCs w:val="24"/>
              </w:rPr>
              <w:t xml:space="preserve"> </w:t>
            </w:r>
            <w:r w:rsidR="0050239A" w:rsidRPr="00501B3D">
              <w:rPr>
                <w:rFonts w:ascii="Times New Roman" w:hAnsi="Times New Roman" w:cs="Times New Roman"/>
                <w:sz w:val="24"/>
                <w:szCs w:val="24"/>
              </w:rPr>
              <w:t>NPD</w:t>
            </w:r>
            <w:r w:rsidR="0050239A" w:rsidRPr="00501B3D">
              <w:rPr>
                <w:rFonts w:ascii="Times New Roman" w:hAnsi="Times New Roman" w:cs="Times New Roman"/>
                <w:b/>
                <w:sz w:val="24"/>
                <w:szCs w:val="24"/>
              </w:rPr>
              <w:t>,</w:t>
            </w:r>
            <w:r w:rsidR="00AF5A02" w:rsidRPr="00501B3D">
              <w:rPr>
                <w:rFonts w:ascii="Times New Roman" w:hAnsi="Times New Roman" w:cs="Times New Roman"/>
                <w:sz w:val="24"/>
                <w:szCs w:val="24"/>
              </w:rPr>
              <w:t xml:space="preserve"> FVD</w:t>
            </w:r>
          </w:p>
        </w:tc>
      </w:tr>
      <w:tr w:rsidR="000774CA" w:rsidRPr="00501B3D" w14:paraId="249AE191" w14:textId="504435D1" w:rsidTr="000774CA">
        <w:tc>
          <w:tcPr>
            <w:cnfStyle w:val="001000000000" w:firstRow="0" w:lastRow="0" w:firstColumn="1" w:lastColumn="0" w:oddVBand="0" w:evenVBand="0" w:oddHBand="0" w:evenHBand="0" w:firstRowFirstColumn="0" w:firstRowLastColumn="0" w:lastRowFirstColumn="0" w:lastRowLastColumn="0"/>
            <w:tcW w:w="498" w:type="dxa"/>
            <w:vMerge/>
            <w:shd w:val="clear" w:color="auto" w:fill="D9E2F3" w:themeFill="accent5" w:themeFillTint="33"/>
          </w:tcPr>
          <w:p w14:paraId="24B36D98" w14:textId="77777777" w:rsidR="006242EA" w:rsidRPr="00501B3D" w:rsidRDefault="006242EA" w:rsidP="00877D03">
            <w:pPr>
              <w:rPr>
                <w:rFonts w:ascii="Times New Roman" w:hAnsi="Times New Roman" w:cs="Times New Roman"/>
                <w:sz w:val="24"/>
                <w:szCs w:val="24"/>
              </w:rPr>
            </w:pPr>
          </w:p>
        </w:tc>
        <w:tc>
          <w:tcPr>
            <w:tcW w:w="2260" w:type="dxa"/>
          </w:tcPr>
          <w:p w14:paraId="1280380A" w14:textId="183AEE01" w:rsidR="006242EA" w:rsidRPr="00501B3D" w:rsidRDefault="006242EA" w:rsidP="00877D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01B3D">
              <w:rPr>
                <w:rFonts w:ascii="Times New Roman" w:hAnsi="Times New Roman" w:cs="Times New Roman"/>
                <w:color w:val="000000" w:themeColor="text1"/>
                <w:sz w:val="24"/>
                <w:szCs w:val="24"/>
              </w:rPr>
              <w:t>Piesaistīt valsts budžeta finansēju</w:t>
            </w:r>
            <w:r w:rsidR="00462218" w:rsidRPr="00501B3D">
              <w:rPr>
                <w:rFonts w:ascii="Times New Roman" w:hAnsi="Times New Roman" w:cs="Times New Roman"/>
                <w:color w:val="000000" w:themeColor="text1"/>
                <w:sz w:val="24"/>
                <w:szCs w:val="24"/>
              </w:rPr>
              <w:t>mu</w:t>
            </w:r>
            <w:r w:rsidRPr="00501B3D">
              <w:rPr>
                <w:rFonts w:ascii="Times New Roman" w:hAnsi="Times New Roman" w:cs="Times New Roman"/>
                <w:color w:val="000000" w:themeColor="text1"/>
                <w:sz w:val="24"/>
                <w:szCs w:val="24"/>
              </w:rPr>
              <w:t>.</w:t>
            </w:r>
          </w:p>
        </w:tc>
        <w:tc>
          <w:tcPr>
            <w:tcW w:w="2709" w:type="dxa"/>
          </w:tcPr>
          <w:p w14:paraId="5BF2869D" w14:textId="4A46CC75" w:rsidR="006242EA" w:rsidRPr="00501B3D" w:rsidRDefault="00B91F06"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Sagatavoti un iesniegti prioritāro pasākumu pieteikumi. </w:t>
            </w:r>
            <w:r w:rsidR="00042794" w:rsidRPr="00501B3D">
              <w:rPr>
                <w:rFonts w:ascii="Times New Roman" w:hAnsi="Times New Roman" w:cs="Times New Roman"/>
                <w:sz w:val="24"/>
                <w:szCs w:val="24"/>
              </w:rPr>
              <w:t>(“Izpildīts”(V)/”Neizpildīts” (X))</w:t>
            </w:r>
          </w:p>
        </w:tc>
        <w:tc>
          <w:tcPr>
            <w:tcW w:w="756" w:type="dxa"/>
          </w:tcPr>
          <w:p w14:paraId="02230A9B" w14:textId="0E95E0E5" w:rsidR="006242EA" w:rsidRPr="00501B3D" w:rsidRDefault="005A4FE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806" w:type="dxa"/>
          </w:tcPr>
          <w:p w14:paraId="155AA06C" w14:textId="62A0B902" w:rsidR="006242EA" w:rsidRPr="00501B3D" w:rsidRDefault="005A4FE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1567" w:type="dxa"/>
          </w:tcPr>
          <w:p w14:paraId="50C906FC" w14:textId="359EFA1C" w:rsidR="006242EA" w:rsidRPr="00501B3D" w:rsidRDefault="005A4FE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756" w:type="dxa"/>
          </w:tcPr>
          <w:p w14:paraId="4B1DC16C" w14:textId="4B258D8D" w:rsidR="006242EA" w:rsidRPr="00501B3D" w:rsidRDefault="005A4FE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783" w:type="dxa"/>
          </w:tcPr>
          <w:p w14:paraId="4F9217D6" w14:textId="584CFCC9" w:rsidR="006242EA" w:rsidRPr="00501B3D" w:rsidRDefault="005A4FE8"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w:t>
            </w:r>
          </w:p>
        </w:tc>
        <w:tc>
          <w:tcPr>
            <w:tcW w:w="1895" w:type="dxa"/>
          </w:tcPr>
          <w:p w14:paraId="32A95126" w14:textId="1EC874EE" w:rsidR="006242EA" w:rsidRPr="00501B3D" w:rsidRDefault="009164B7"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Sagatavot, iesniegt</w:t>
            </w:r>
            <w:r w:rsidR="006242EA" w:rsidRPr="00501B3D">
              <w:rPr>
                <w:rFonts w:ascii="Times New Roman" w:hAnsi="Times New Roman" w:cs="Times New Roman"/>
                <w:sz w:val="24"/>
                <w:szCs w:val="24"/>
              </w:rPr>
              <w:t xml:space="preserve"> prioritāro pasākumu pieteikumus, pamatojot tos ar strukturālo reformu projektu secinājumiem un rekomendācijām.</w:t>
            </w:r>
          </w:p>
        </w:tc>
        <w:tc>
          <w:tcPr>
            <w:tcW w:w="1923" w:type="dxa"/>
          </w:tcPr>
          <w:p w14:paraId="63D173E2" w14:textId="61667FA9" w:rsidR="006242EA" w:rsidRPr="00501B3D" w:rsidRDefault="00AF5A02" w:rsidP="00877D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FVD</w:t>
            </w:r>
            <w:r w:rsidRPr="00501B3D">
              <w:rPr>
                <w:rFonts w:ascii="Times New Roman" w:hAnsi="Times New Roman" w:cs="Times New Roman"/>
                <w:sz w:val="24"/>
                <w:szCs w:val="24"/>
              </w:rPr>
              <w:t>, NPD, PVAD</w:t>
            </w:r>
          </w:p>
        </w:tc>
      </w:tr>
    </w:tbl>
    <w:p w14:paraId="00F1DC7C" w14:textId="3F4246EC" w:rsidR="00501B3D" w:rsidRDefault="00877D03">
      <w:pPr>
        <w:rPr>
          <w:rFonts w:ascii="Times New Roman" w:hAnsi="Times New Roman" w:cs="Times New Roman"/>
          <w:sz w:val="28"/>
        </w:rPr>
      </w:pPr>
      <w:r w:rsidRPr="00501B3D">
        <w:rPr>
          <w:rFonts w:ascii="Times New Roman" w:hAnsi="Times New Roman" w:cs="Times New Roman"/>
          <w:sz w:val="28"/>
        </w:rPr>
        <w:br w:type="textWrapping" w:clear="all"/>
      </w:r>
    </w:p>
    <w:p w14:paraId="651397FA" w14:textId="605B6D7F" w:rsidR="00501B3D" w:rsidRDefault="00501B3D" w:rsidP="00501B3D">
      <w:pPr>
        <w:tabs>
          <w:tab w:val="left" w:pos="5484"/>
        </w:tabs>
        <w:rPr>
          <w:rFonts w:ascii="Times New Roman" w:hAnsi="Times New Roman" w:cs="Times New Roman"/>
          <w:sz w:val="28"/>
        </w:rPr>
      </w:pPr>
    </w:p>
    <w:p w14:paraId="3D1856AA" w14:textId="65B13D94" w:rsidR="00992E40" w:rsidRPr="00501B3D" w:rsidRDefault="00501B3D" w:rsidP="00501B3D">
      <w:pPr>
        <w:tabs>
          <w:tab w:val="left" w:pos="5484"/>
        </w:tabs>
        <w:rPr>
          <w:rFonts w:ascii="Times New Roman" w:hAnsi="Times New Roman" w:cs="Times New Roman"/>
          <w:sz w:val="28"/>
        </w:rPr>
        <w:sectPr w:rsidR="00992E40" w:rsidRPr="00501B3D" w:rsidSect="00992E40">
          <w:pgSz w:w="16838" w:h="11906" w:orient="landscape"/>
          <w:pgMar w:top="1800" w:right="1440" w:bottom="1800" w:left="1440" w:header="708" w:footer="708" w:gutter="0"/>
          <w:cols w:space="708"/>
          <w:docGrid w:linePitch="360"/>
        </w:sectPr>
      </w:pPr>
      <w:r>
        <w:rPr>
          <w:rFonts w:ascii="Times New Roman" w:hAnsi="Times New Roman" w:cs="Times New Roman"/>
          <w:sz w:val="28"/>
        </w:rPr>
        <w:tab/>
      </w:r>
    </w:p>
    <w:p w14:paraId="5982F7EE" w14:textId="2E6576AD" w:rsidR="00042794" w:rsidRPr="00501B3D" w:rsidRDefault="005C586E" w:rsidP="005C586E">
      <w:pPr>
        <w:pStyle w:val="Heading1"/>
        <w:ind w:left="720"/>
        <w:jc w:val="center"/>
        <w:rPr>
          <w:color w:val="1F3864" w:themeColor="accent5" w:themeShade="80"/>
          <w:sz w:val="32"/>
          <w:szCs w:val="32"/>
        </w:rPr>
      </w:pPr>
      <w:bookmarkStart w:id="8" w:name="_Toc118192607"/>
      <w:r w:rsidRPr="00501B3D">
        <w:rPr>
          <w:color w:val="1F3864" w:themeColor="accent5" w:themeShade="80"/>
          <w:sz w:val="32"/>
          <w:szCs w:val="32"/>
        </w:rPr>
        <w:lastRenderedPageBreak/>
        <w:t>3. </w:t>
      </w:r>
      <w:r w:rsidR="007F3600" w:rsidRPr="00501B3D">
        <w:rPr>
          <w:color w:val="1F3864" w:themeColor="accent5" w:themeShade="80"/>
          <w:sz w:val="32"/>
          <w:szCs w:val="32"/>
        </w:rPr>
        <w:t xml:space="preserve">Stratēģiskā prioritāte Nr. 2: </w:t>
      </w:r>
      <w:r w:rsidR="00EC20BF" w:rsidRPr="00501B3D">
        <w:rPr>
          <w:color w:val="1F3864" w:themeColor="accent5" w:themeShade="80"/>
          <w:sz w:val="32"/>
          <w:szCs w:val="32"/>
        </w:rPr>
        <w:t>Motivēt</w:t>
      </w:r>
      <w:r w:rsidR="00E1151C" w:rsidRPr="00501B3D">
        <w:rPr>
          <w:color w:val="1F3864" w:themeColor="accent5" w:themeShade="80"/>
          <w:sz w:val="32"/>
          <w:szCs w:val="32"/>
        </w:rPr>
        <w:t>i</w:t>
      </w:r>
      <w:r w:rsidR="00EC20BF" w:rsidRPr="00501B3D">
        <w:rPr>
          <w:color w:val="1F3864" w:themeColor="accent5" w:themeShade="80"/>
          <w:sz w:val="32"/>
          <w:szCs w:val="32"/>
        </w:rPr>
        <w:t xml:space="preserve"> un kvalificēt</w:t>
      </w:r>
      <w:r w:rsidR="00E1151C" w:rsidRPr="00501B3D">
        <w:rPr>
          <w:color w:val="1F3864" w:themeColor="accent5" w:themeShade="80"/>
          <w:sz w:val="32"/>
          <w:szCs w:val="32"/>
        </w:rPr>
        <w:t>i nodarbinātie</w:t>
      </w:r>
      <w:bookmarkEnd w:id="8"/>
    </w:p>
    <w:tbl>
      <w:tblPr>
        <w:tblStyle w:val="GridTable1Light-Accent5"/>
        <w:tblW w:w="14606" w:type="dxa"/>
        <w:tblLook w:val="04A0" w:firstRow="1" w:lastRow="0" w:firstColumn="1" w:lastColumn="0" w:noHBand="0" w:noVBand="1"/>
      </w:tblPr>
      <w:tblGrid>
        <w:gridCol w:w="506"/>
        <w:gridCol w:w="2085"/>
        <w:gridCol w:w="1869"/>
        <w:gridCol w:w="944"/>
        <w:gridCol w:w="1510"/>
        <w:gridCol w:w="756"/>
        <w:gridCol w:w="776"/>
        <w:gridCol w:w="2088"/>
        <w:gridCol w:w="2242"/>
        <w:gridCol w:w="1830"/>
      </w:tblGrid>
      <w:tr w:rsidR="008B412C" w:rsidRPr="00501B3D" w14:paraId="4D201A9D" w14:textId="4B856052" w:rsidTr="008E7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Borders>
              <w:top w:val="single" w:sz="12" w:space="0" w:color="FFFFFF" w:themeColor="background1"/>
              <w:left w:val="single" w:sz="12" w:space="0" w:color="FFFFFF" w:themeColor="background1"/>
              <w:bottom w:val="single" w:sz="12" w:space="0" w:color="FFFFFF" w:themeColor="background1"/>
            </w:tcBorders>
          </w:tcPr>
          <w:p w14:paraId="0A54D7CE" w14:textId="77777777" w:rsidR="00547CF0" w:rsidRPr="00501B3D" w:rsidRDefault="00547CF0" w:rsidP="00547CF0">
            <w:pPr>
              <w:rPr>
                <w:rFonts w:ascii="Times New Roman" w:hAnsi="Times New Roman" w:cs="Times New Roman"/>
                <w:sz w:val="24"/>
                <w:szCs w:val="24"/>
              </w:rPr>
            </w:pPr>
          </w:p>
        </w:tc>
        <w:tc>
          <w:tcPr>
            <w:tcW w:w="2085" w:type="dxa"/>
            <w:vMerge w:val="restart"/>
            <w:shd w:val="clear" w:color="auto" w:fill="D9E2F3" w:themeFill="accent5" w:themeFillTint="33"/>
          </w:tcPr>
          <w:p w14:paraId="73E7BEEB" w14:textId="77777777" w:rsidR="00547CF0" w:rsidRPr="00501B3D" w:rsidRDefault="00547CF0" w:rsidP="00547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Stratēģiskie mērķi</w:t>
            </w:r>
          </w:p>
        </w:tc>
        <w:tc>
          <w:tcPr>
            <w:tcW w:w="1869" w:type="dxa"/>
            <w:vMerge w:val="restart"/>
            <w:shd w:val="clear" w:color="auto" w:fill="D9E2F3" w:themeFill="accent5" w:themeFillTint="33"/>
          </w:tcPr>
          <w:p w14:paraId="1C942958" w14:textId="77777777" w:rsidR="00547CF0" w:rsidRPr="00501B3D" w:rsidRDefault="00547CF0" w:rsidP="00547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Rezultatīvie rādītāji</w:t>
            </w:r>
          </w:p>
        </w:tc>
        <w:tc>
          <w:tcPr>
            <w:tcW w:w="6074" w:type="dxa"/>
            <w:gridSpan w:val="5"/>
            <w:shd w:val="clear" w:color="auto" w:fill="D9E2F3" w:themeFill="accent5" w:themeFillTint="33"/>
          </w:tcPr>
          <w:p w14:paraId="7B02E510" w14:textId="77777777" w:rsidR="00547CF0" w:rsidRPr="00501B3D" w:rsidRDefault="00547CF0" w:rsidP="00547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Rezultatīvo rādītāju vērtības</w:t>
            </w:r>
          </w:p>
        </w:tc>
        <w:tc>
          <w:tcPr>
            <w:tcW w:w="2242" w:type="dxa"/>
            <w:vMerge w:val="restart"/>
            <w:shd w:val="clear" w:color="auto" w:fill="D9E2F3" w:themeFill="accent5" w:themeFillTint="33"/>
          </w:tcPr>
          <w:p w14:paraId="391A9DAF" w14:textId="77777777" w:rsidR="00547CF0" w:rsidRPr="00501B3D" w:rsidRDefault="00547CF0" w:rsidP="00547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Iniciatīvas</w:t>
            </w:r>
          </w:p>
        </w:tc>
        <w:tc>
          <w:tcPr>
            <w:tcW w:w="1830" w:type="dxa"/>
            <w:vMerge w:val="restart"/>
            <w:shd w:val="clear" w:color="auto" w:fill="D9E2F3" w:themeFill="accent5" w:themeFillTint="33"/>
          </w:tcPr>
          <w:p w14:paraId="56CD0BA5" w14:textId="3F78766E" w:rsidR="00547CF0" w:rsidRPr="00501B3D" w:rsidRDefault="00547CF0" w:rsidP="00547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Atbildīgā struktūrvienība</w:t>
            </w:r>
          </w:p>
        </w:tc>
      </w:tr>
      <w:tr w:rsidR="00A84EFB" w:rsidRPr="00501B3D" w14:paraId="530FE856" w14:textId="13449B53" w:rsidTr="008E7353">
        <w:tc>
          <w:tcPr>
            <w:cnfStyle w:val="001000000000" w:firstRow="0" w:lastRow="0" w:firstColumn="1" w:lastColumn="0" w:oddVBand="0" w:evenVBand="0" w:oddHBand="0" w:evenHBand="0" w:firstRowFirstColumn="0" w:firstRowLastColumn="0" w:lastRowFirstColumn="0" w:lastRowLastColumn="0"/>
            <w:tcW w:w="506" w:type="dxa"/>
            <w:tcBorders>
              <w:top w:val="single" w:sz="12" w:space="0" w:color="FFFFFF" w:themeColor="background1"/>
              <w:left w:val="single" w:sz="12" w:space="0" w:color="FFFFFF" w:themeColor="background1"/>
            </w:tcBorders>
          </w:tcPr>
          <w:p w14:paraId="63A9E348" w14:textId="77777777" w:rsidR="00547CF0" w:rsidRPr="00501B3D" w:rsidRDefault="00547CF0" w:rsidP="00547CF0">
            <w:pPr>
              <w:rPr>
                <w:rFonts w:ascii="Times New Roman" w:hAnsi="Times New Roman" w:cs="Times New Roman"/>
                <w:sz w:val="24"/>
                <w:szCs w:val="24"/>
              </w:rPr>
            </w:pPr>
          </w:p>
        </w:tc>
        <w:tc>
          <w:tcPr>
            <w:tcW w:w="2085" w:type="dxa"/>
            <w:vMerge/>
          </w:tcPr>
          <w:p w14:paraId="078130BA"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023714CF"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tcPr>
          <w:p w14:paraId="1625F662" w14:textId="77777777" w:rsidR="00547CF0" w:rsidRPr="00501B3D" w:rsidRDefault="00547CF0" w:rsidP="00547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2023. gads</w:t>
            </w:r>
          </w:p>
        </w:tc>
        <w:tc>
          <w:tcPr>
            <w:tcW w:w="1510" w:type="dxa"/>
          </w:tcPr>
          <w:p w14:paraId="4969D563" w14:textId="77777777" w:rsidR="00547CF0" w:rsidRPr="00501B3D" w:rsidRDefault="00547CF0" w:rsidP="00547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2024. gads</w:t>
            </w:r>
          </w:p>
        </w:tc>
        <w:tc>
          <w:tcPr>
            <w:tcW w:w="756" w:type="dxa"/>
          </w:tcPr>
          <w:p w14:paraId="7C2C01E4" w14:textId="77777777" w:rsidR="00547CF0" w:rsidRPr="00501B3D" w:rsidRDefault="00547CF0" w:rsidP="00547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2025. gads</w:t>
            </w:r>
          </w:p>
        </w:tc>
        <w:tc>
          <w:tcPr>
            <w:tcW w:w="776" w:type="dxa"/>
          </w:tcPr>
          <w:p w14:paraId="3F517A3E" w14:textId="77777777" w:rsidR="00547CF0" w:rsidRPr="00501B3D" w:rsidRDefault="00547CF0" w:rsidP="00547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2026. gads</w:t>
            </w:r>
          </w:p>
        </w:tc>
        <w:tc>
          <w:tcPr>
            <w:tcW w:w="2088" w:type="dxa"/>
          </w:tcPr>
          <w:p w14:paraId="33CB8473" w14:textId="77777777" w:rsidR="00547CF0" w:rsidRPr="00501B3D" w:rsidRDefault="00547CF0" w:rsidP="00547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2027. gads</w:t>
            </w:r>
          </w:p>
        </w:tc>
        <w:tc>
          <w:tcPr>
            <w:tcW w:w="2242" w:type="dxa"/>
            <w:vMerge/>
          </w:tcPr>
          <w:p w14:paraId="21A50725"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30" w:type="dxa"/>
            <w:vMerge/>
          </w:tcPr>
          <w:p w14:paraId="4A078596"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412C" w:rsidRPr="00501B3D" w14:paraId="2D6B0284" w14:textId="1D9C9B71" w:rsidTr="008E7353">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D9E2F3" w:themeFill="accent5" w:themeFillTint="33"/>
            <w:textDirection w:val="btLr"/>
          </w:tcPr>
          <w:p w14:paraId="2451198A" w14:textId="77777777" w:rsidR="00E9503B" w:rsidRPr="00501B3D" w:rsidRDefault="00E9503B" w:rsidP="00547CF0">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t>Klienti</w:t>
            </w:r>
          </w:p>
        </w:tc>
        <w:tc>
          <w:tcPr>
            <w:tcW w:w="2085" w:type="dxa"/>
            <w:vMerge w:val="restart"/>
          </w:tcPr>
          <w:p w14:paraId="564D84FE" w14:textId="77777777" w:rsidR="00E9503B" w:rsidRPr="00501B3D" w:rsidRDefault="00E9503B"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Veidot augsti kvalificētu un uz attīstību orientētu Ministrijas personālu.</w:t>
            </w:r>
          </w:p>
        </w:tc>
        <w:tc>
          <w:tcPr>
            <w:tcW w:w="1869" w:type="dxa"/>
            <w:vMerge w:val="restart"/>
          </w:tcPr>
          <w:p w14:paraId="76F3F783" w14:textId="59A05FBE" w:rsidR="00E9503B" w:rsidRPr="00501B3D" w:rsidRDefault="00E9503B"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Nodarbināto, kuri gada ietvaros ir paaugstinājuši kvalifikāciju, īpatsvars (%)</w:t>
            </w:r>
          </w:p>
        </w:tc>
        <w:tc>
          <w:tcPr>
            <w:tcW w:w="944" w:type="dxa"/>
            <w:vMerge w:val="restart"/>
          </w:tcPr>
          <w:p w14:paraId="086B445F" w14:textId="0B4D9A8C"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r w:rsidRPr="00501B3D">
              <w:rPr>
                <w:rStyle w:val="FootnoteReference"/>
                <w:rFonts w:ascii="Times New Roman" w:hAnsi="Times New Roman" w:cs="Times New Roman"/>
                <w:sz w:val="24"/>
                <w:szCs w:val="24"/>
              </w:rPr>
              <w:footnoteReference w:id="9"/>
            </w:r>
          </w:p>
        </w:tc>
        <w:tc>
          <w:tcPr>
            <w:tcW w:w="1510" w:type="dxa"/>
            <w:vMerge w:val="restart"/>
          </w:tcPr>
          <w:p w14:paraId="162A93A8" w14:textId="3E419654"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50%</w:t>
            </w:r>
            <w:r w:rsidRPr="00501B3D">
              <w:rPr>
                <w:rStyle w:val="FootnoteReference"/>
                <w:rFonts w:ascii="Times New Roman" w:hAnsi="Times New Roman" w:cs="Times New Roman"/>
                <w:sz w:val="24"/>
                <w:szCs w:val="24"/>
              </w:rPr>
              <w:footnoteReference w:id="10"/>
            </w:r>
          </w:p>
        </w:tc>
        <w:tc>
          <w:tcPr>
            <w:tcW w:w="756" w:type="dxa"/>
            <w:vMerge w:val="restart"/>
          </w:tcPr>
          <w:p w14:paraId="7A6F4EC6" w14:textId="39E293D3" w:rsidR="00042794"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60%</w:t>
            </w:r>
          </w:p>
          <w:p w14:paraId="3BB4A2EA" w14:textId="77777777"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0F29F32" w14:textId="77777777"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657B66" w14:textId="77777777"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4DDF6B" w14:textId="67E578B9"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ACAE876" w14:textId="77777777"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553695" w14:textId="487DDEC8"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D87414" w14:textId="15A1521F" w:rsidR="00042794" w:rsidRPr="00501B3D" w:rsidRDefault="00042794"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D8249C" w14:textId="77777777" w:rsidR="00E9503B" w:rsidRPr="00501B3D" w:rsidRDefault="00E9503B" w:rsidP="000427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val="restart"/>
          </w:tcPr>
          <w:p w14:paraId="1B2DEB5B" w14:textId="3144659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70%</w:t>
            </w:r>
          </w:p>
        </w:tc>
        <w:tc>
          <w:tcPr>
            <w:tcW w:w="2088" w:type="dxa"/>
            <w:vMerge w:val="restart"/>
          </w:tcPr>
          <w:p w14:paraId="4BAACB6A" w14:textId="5B2D6ED4"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80%</w:t>
            </w:r>
          </w:p>
        </w:tc>
        <w:tc>
          <w:tcPr>
            <w:tcW w:w="2242" w:type="dxa"/>
          </w:tcPr>
          <w:p w14:paraId="724A74AD" w14:textId="577C28C3" w:rsidR="00E9503B" w:rsidRPr="00501B3D" w:rsidRDefault="00E9503B" w:rsidP="00896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Izstrādāt procesuālo/tehnisko risinājumu nepieciešamo ikgadējo apmācību komunicēšanai un vadīšanai. </w:t>
            </w:r>
          </w:p>
        </w:tc>
        <w:tc>
          <w:tcPr>
            <w:tcW w:w="1830" w:type="dxa"/>
            <w:vMerge w:val="restart"/>
          </w:tcPr>
          <w:p w14:paraId="1C0410A0" w14:textId="05023187" w:rsidR="00E9503B" w:rsidRPr="00501B3D" w:rsidRDefault="00E9503B"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t>PVAD</w:t>
            </w:r>
          </w:p>
        </w:tc>
      </w:tr>
      <w:tr w:rsidR="008B412C" w:rsidRPr="00501B3D" w14:paraId="3BE1FC84" w14:textId="62FE840B" w:rsidTr="008E7353">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7D4C4A8E" w14:textId="77777777" w:rsidR="00E9503B" w:rsidRPr="00501B3D" w:rsidRDefault="00E9503B" w:rsidP="00547CF0">
            <w:pPr>
              <w:ind w:left="113" w:right="113"/>
              <w:jc w:val="center"/>
              <w:rPr>
                <w:rFonts w:ascii="Times New Roman" w:hAnsi="Times New Roman" w:cs="Times New Roman"/>
                <w:sz w:val="24"/>
                <w:szCs w:val="24"/>
              </w:rPr>
            </w:pPr>
          </w:p>
        </w:tc>
        <w:tc>
          <w:tcPr>
            <w:tcW w:w="2085" w:type="dxa"/>
            <w:vMerge/>
          </w:tcPr>
          <w:p w14:paraId="72D52A29" w14:textId="77777777" w:rsidR="00E9503B" w:rsidRPr="00501B3D" w:rsidRDefault="00E9503B"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76BF5B68"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26229001"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16FB4D82"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41D93138"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444205A3"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33DF2551" w14:textId="77777777" w:rsidR="00E9503B" w:rsidRPr="00501B3D" w:rsidRDefault="00E9503B"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12A76BDF" w14:textId="24949087" w:rsidR="00E9503B" w:rsidRPr="00501B3D" w:rsidRDefault="00E9503B" w:rsidP="00FA49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Vidējā līmeņa vadītāju vadības prasmju attīstība.</w:t>
            </w:r>
          </w:p>
        </w:tc>
        <w:tc>
          <w:tcPr>
            <w:tcW w:w="1830" w:type="dxa"/>
            <w:vMerge/>
          </w:tcPr>
          <w:p w14:paraId="591C837E" w14:textId="77777777" w:rsidR="00E9503B" w:rsidRPr="00501B3D" w:rsidRDefault="00E9503B"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412C" w:rsidRPr="00501B3D" w14:paraId="364DF6B9" w14:textId="00EA292A" w:rsidTr="008E7353">
        <w:trPr>
          <w:trHeight w:val="309"/>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D9E2F3" w:themeFill="accent5" w:themeFillTint="33"/>
            <w:textDirection w:val="btLr"/>
          </w:tcPr>
          <w:p w14:paraId="01536014" w14:textId="77777777" w:rsidR="00547CF0" w:rsidRPr="00501B3D" w:rsidRDefault="00547CF0" w:rsidP="00547CF0">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t>Procesi</w:t>
            </w:r>
          </w:p>
        </w:tc>
        <w:tc>
          <w:tcPr>
            <w:tcW w:w="2085" w:type="dxa"/>
            <w:vMerge w:val="restart"/>
          </w:tcPr>
          <w:p w14:paraId="76998FD1" w14:textId="01C8A9B6" w:rsidR="00547CF0" w:rsidRPr="00501B3D" w:rsidRDefault="00547CF0" w:rsidP="00896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Izveidot </w:t>
            </w:r>
            <w:r w:rsidR="0003072B" w:rsidRPr="00501B3D">
              <w:rPr>
                <w:rFonts w:ascii="Times New Roman" w:hAnsi="Times New Roman" w:cs="Times New Roman"/>
                <w:sz w:val="24"/>
                <w:szCs w:val="24"/>
              </w:rPr>
              <w:t xml:space="preserve">un attīstīt </w:t>
            </w:r>
            <w:r w:rsidR="00251C72" w:rsidRPr="00501B3D">
              <w:rPr>
                <w:rFonts w:ascii="Times New Roman" w:hAnsi="Times New Roman" w:cs="Times New Roman"/>
                <w:sz w:val="24"/>
                <w:szCs w:val="24"/>
              </w:rPr>
              <w:t>vienotus apmācību portfeļus</w:t>
            </w:r>
            <w:r w:rsidRPr="00501B3D">
              <w:rPr>
                <w:rFonts w:ascii="Times New Roman" w:hAnsi="Times New Roman" w:cs="Times New Roman"/>
                <w:sz w:val="24"/>
                <w:szCs w:val="24"/>
              </w:rPr>
              <w:t xml:space="preserve"> personāla attīstībai.</w:t>
            </w:r>
          </w:p>
        </w:tc>
        <w:tc>
          <w:tcPr>
            <w:tcW w:w="1869" w:type="dxa"/>
            <w:vMerge w:val="restart"/>
          </w:tcPr>
          <w:p w14:paraId="724B01FE" w14:textId="22BA1084" w:rsidR="00547CF0" w:rsidRPr="00501B3D" w:rsidRDefault="00547CF0"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Izstrādāto apmācību</w:t>
            </w:r>
            <w:r w:rsidR="00251C72" w:rsidRPr="00501B3D">
              <w:rPr>
                <w:rFonts w:ascii="Times New Roman" w:hAnsi="Times New Roman" w:cs="Times New Roman"/>
                <w:sz w:val="24"/>
                <w:szCs w:val="24"/>
              </w:rPr>
              <w:t xml:space="preserve"> portfeļu</w:t>
            </w:r>
            <w:r w:rsidRPr="00501B3D">
              <w:rPr>
                <w:rFonts w:ascii="Times New Roman" w:hAnsi="Times New Roman" w:cs="Times New Roman"/>
                <w:sz w:val="24"/>
                <w:szCs w:val="24"/>
              </w:rPr>
              <w:t xml:space="preserve"> skaits.</w:t>
            </w:r>
          </w:p>
          <w:p w14:paraId="7C2F39BD" w14:textId="4CA85ED5" w:rsidR="00380505" w:rsidRPr="00501B3D" w:rsidRDefault="00380505"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val="restart"/>
          </w:tcPr>
          <w:p w14:paraId="3AC6F3EF" w14:textId="1CB5A311" w:rsidR="00547CF0" w:rsidRPr="00501B3D" w:rsidRDefault="00896721"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100%</w:t>
            </w:r>
            <w:r w:rsidR="00A84EFB" w:rsidRPr="00501B3D">
              <w:rPr>
                <w:rFonts w:ascii="Times New Roman" w:hAnsi="Times New Roman" w:cs="Times New Roman"/>
                <w:sz w:val="24"/>
                <w:szCs w:val="24"/>
              </w:rPr>
              <w:t>/-</w:t>
            </w:r>
            <w:r w:rsidR="008E7353">
              <w:rPr>
                <w:rStyle w:val="FootnoteReference"/>
                <w:rFonts w:ascii="Times New Roman" w:hAnsi="Times New Roman" w:cs="Times New Roman"/>
                <w:sz w:val="24"/>
                <w:szCs w:val="24"/>
              </w:rPr>
              <w:footnoteReference w:id="11"/>
            </w:r>
          </w:p>
        </w:tc>
        <w:tc>
          <w:tcPr>
            <w:tcW w:w="1510" w:type="dxa"/>
            <w:vMerge w:val="restart"/>
          </w:tcPr>
          <w:p w14:paraId="7D88DD6E" w14:textId="44B37FA9" w:rsidR="00547CF0" w:rsidRPr="00501B3D" w:rsidRDefault="00896721"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r w:rsidR="00A84EFB" w:rsidRPr="00501B3D">
              <w:rPr>
                <w:rFonts w:ascii="Times New Roman" w:hAnsi="Times New Roman" w:cs="Times New Roman"/>
                <w:sz w:val="24"/>
                <w:szCs w:val="24"/>
              </w:rPr>
              <w:t>/50%(uzsākts process individuālo portfeļu izstrādei)</w:t>
            </w:r>
            <w:r w:rsidR="008E7353">
              <w:rPr>
                <w:rStyle w:val="FootnoteReference"/>
                <w:rFonts w:ascii="Times New Roman" w:hAnsi="Times New Roman" w:cs="Times New Roman"/>
                <w:sz w:val="24"/>
                <w:szCs w:val="24"/>
              </w:rPr>
              <w:footnoteReference w:id="12"/>
            </w:r>
          </w:p>
        </w:tc>
        <w:tc>
          <w:tcPr>
            <w:tcW w:w="756" w:type="dxa"/>
            <w:vMerge w:val="restart"/>
          </w:tcPr>
          <w:p w14:paraId="06A3BB5A" w14:textId="2D6BFCAD" w:rsidR="00547CF0" w:rsidRPr="00501B3D" w:rsidRDefault="00896721"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776" w:type="dxa"/>
            <w:vMerge w:val="restart"/>
          </w:tcPr>
          <w:p w14:paraId="52571EDF" w14:textId="5BF537A9" w:rsidR="00547CF0" w:rsidRPr="00501B3D" w:rsidRDefault="00896721"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100%</w:t>
            </w:r>
          </w:p>
        </w:tc>
        <w:tc>
          <w:tcPr>
            <w:tcW w:w="2088" w:type="dxa"/>
            <w:vMerge w:val="restart"/>
          </w:tcPr>
          <w:p w14:paraId="73482D2C" w14:textId="6B0E367B" w:rsidR="00547CF0" w:rsidRPr="00501B3D" w:rsidRDefault="00896721"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2242" w:type="dxa"/>
          </w:tcPr>
          <w:p w14:paraId="32F9DADC" w14:textId="3BFC3536" w:rsidR="00547CF0" w:rsidRPr="00501B3D" w:rsidRDefault="00547CF0" w:rsidP="0076305A">
            <w:pPr>
              <w:tabs>
                <w:tab w:val="left" w:pos="9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izvērtējumu par esošo situāciju un nodarbināto prasmju vajadzībām</w:t>
            </w:r>
            <w:r w:rsidR="00835CFE" w:rsidRPr="00501B3D">
              <w:rPr>
                <w:rFonts w:ascii="Times New Roman" w:hAnsi="Times New Roman" w:cs="Times New Roman"/>
                <w:sz w:val="24"/>
                <w:szCs w:val="24"/>
              </w:rPr>
              <w:t xml:space="preserve"> darba pienākumu veikšanai, kā arī</w:t>
            </w:r>
            <w:r w:rsidR="00E326B1" w:rsidRPr="00501B3D">
              <w:rPr>
                <w:rFonts w:ascii="Times New Roman" w:hAnsi="Times New Roman" w:cs="Times New Roman"/>
                <w:sz w:val="24"/>
                <w:szCs w:val="24"/>
              </w:rPr>
              <w:t xml:space="preserve"> par</w:t>
            </w:r>
            <w:r w:rsidR="00835CFE" w:rsidRPr="00501B3D">
              <w:rPr>
                <w:rFonts w:ascii="Times New Roman" w:hAnsi="Times New Roman" w:cs="Times New Roman"/>
                <w:sz w:val="24"/>
                <w:szCs w:val="24"/>
              </w:rPr>
              <w:t xml:space="preserve"> citu valsts pārvaldes iestāžu, privātā sektora un starptautisko labo praksi saistībā ar nepieciešamo prasmju/zināšanu </w:t>
            </w:r>
            <w:r w:rsidR="00835CFE" w:rsidRPr="00501B3D">
              <w:rPr>
                <w:rFonts w:ascii="Times New Roman" w:hAnsi="Times New Roman" w:cs="Times New Roman"/>
                <w:sz w:val="24"/>
                <w:szCs w:val="24"/>
              </w:rPr>
              <w:lastRenderedPageBreak/>
              <w:t xml:space="preserve">kopumu kvalitatīvai amata pienākumu veikšanai. </w:t>
            </w:r>
            <w:r w:rsidR="0076305A" w:rsidRPr="00501B3D">
              <w:rPr>
                <w:rFonts w:ascii="Times New Roman" w:hAnsi="Times New Roman" w:cs="Times New Roman"/>
                <w:sz w:val="24"/>
                <w:szCs w:val="24"/>
              </w:rPr>
              <w:t>Aktualizēt izvērtējumu vienu reizi trīs gados.</w:t>
            </w:r>
            <w:r w:rsidR="00C60345" w:rsidRPr="00501B3D">
              <w:rPr>
                <w:rFonts w:ascii="Times New Roman" w:hAnsi="Times New Roman" w:cs="Times New Roman"/>
                <w:sz w:val="24"/>
                <w:szCs w:val="24"/>
              </w:rPr>
              <w:t xml:space="preserve"> </w:t>
            </w:r>
          </w:p>
        </w:tc>
        <w:tc>
          <w:tcPr>
            <w:tcW w:w="1830" w:type="dxa"/>
          </w:tcPr>
          <w:p w14:paraId="3239CE9B" w14:textId="67D455B7" w:rsidR="00547CF0" w:rsidRPr="00501B3D" w:rsidRDefault="00835CFE" w:rsidP="00547CF0">
            <w:pPr>
              <w:tabs>
                <w:tab w:val="left" w:pos="9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01B3D">
              <w:rPr>
                <w:rFonts w:ascii="Times New Roman" w:hAnsi="Times New Roman" w:cs="Times New Roman"/>
                <w:b/>
                <w:sz w:val="24"/>
                <w:szCs w:val="24"/>
              </w:rPr>
              <w:lastRenderedPageBreak/>
              <w:t>PVAD</w:t>
            </w:r>
          </w:p>
        </w:tc>
      </w:tr>
      <w:tr w:rsidR="008B412C" w:rsidRPr="00501B3D" w14:paraId="2F988311" w14:textId="6ED6715A" w:rsidTr="008E7353">
        <w:trPr>
          <w:trHeight w:val="306"/>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208F048C" w14:textId="77777777" w:rsidR="00547CF0" w:rsidRPr="00501B3D" w:rsidRDefault="00547CF0" w:rsidP="00547CF0">
            <w:pPr>
              <w:ind w:left="113" w:right="113"/>
              <w:jc w:val="center"/>
              <w:rPr>
                <w:rFonts w:ascii="Times New Roman" w:hAnsi="Times New Roman" w:cs="Times New Roman"/>
                <w:sz w:val="24"/>
                <w:szCs w:val="24"/>
              </w:rPr>
            </w:pPr>
          </w:p>
        </w:tc>
        <w:tc>
          <w:tcPr>
            <w:tcW w:w="2085" w:type="dxa"/>
            <w:vMerge/>
          </w:tcPr>
          <w:p w14:paraId="29AE209D" w14:textId="77777777" w:rsidR="00547CF0" w:rsidRPr="00501B3D" w:rsidRDefault="00547CF0"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1825F1E4"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02BD7CEB"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3A6DE29E"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249B976D"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000CFAC8"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0CFD7764"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72D9FBA9" w14:textId="032BE293" w:rsidR="00547CF0" w:rsidRPr="00501B3D" w:rsidRDefault="00547CF0" w:rsidP="00E326B1">
            <w:pPr>
              <w:tabs>
                <w:tab w:val="left" w:pos="9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Izstrādāt </w:t>
            </w:r>
            <w:r w:rsidR="005D0558" w:rsidRPr="00501B3D">
              <w:rPr>
                <w:rFonts w:ascii="Times New Roman" w:hAnsi="Times New Roman" w:cs="Times New Roman"/>
                <w:sz w:val="24"/>
                <w:szCs w:val="24"/>
              </w:rPr>
              <w:t>jauno nodarbināto</w:t>
            </w:r>
            <w:r w:rsidR="00E326B1" w:rsidRPr="00501B3D">
              <w:rPr>
                <w:rFonts w:ascii="Times New Roman" w:hAnsi="Times New Roman" w:cs="Times New Roman"/>
                <w:sz w:val="24"/>
                <w:szCs w:val="24"/>
              </w:rPr>
              <w:t xml:space="preserve"> iekļaušanas darba vidē (</w:t>
            </w:r>
            <w:proofErr w:type="spellStart"/>
            <w:r w:rsidR="00E326B1" w:rsidRPr="00501B3D">
              <w:rPr>
                <w:rFonts w:ascii="Times New Roman" w:hAnsi="Times New Roman" w:cs="Times New Roman"/>
                <w:i/>
                <w:sz w:val="24"/>
                <w:szCs w:val="24"/>
              </w:rPr>
              <w:t>onboarding</w:t>
            </w:r>
            <w:proofErr w:type="spellEnd"/>
            <w:r w:rsidR="00E326B1" w:rsidRPr="00501B3D">
              <w:rPr>
                <w:rFonts w:ascii="Times New Roman" w:hAnsi="Times New Roman" w:cs="Times New Roman"/>
                <w:sz w:val="24"/>
                <w:szCs w:val="24"/>
              </w:rPr>
              <w:t xml:space="preserve">) </w:t>
            </w:r>
            <w:r w:rsidRPr="00501B3D">
              <w:rPr>
                <w:rFonts w:ascii="Times New Roman" w:hAnsi="Times New Roman" w:cs="Times New Roman"/>
                <w:sz w:val="24"/>
                <w:szCs w:val="24"/>
              </w:rPr>
              <w:t>p</w:t>
            </w:r>
            <w:r w:rsidR="00835CFE" w:rsidRPr="00501B3D">
              <w:rPr>
                <w:rFonts w:ascii="Times New Roman" w:hAnsi="Times New Roman" w:cs="Times New Roman"/>
                <w:sz w:val="24"/>
                <w:szCs w:val="24"/>
              </w:rPr>
              <w:t>rocesu un materiālus M</w:t>
            </w:r>
            <w:r w:rsidRPr="00501B3D">
              <w:rPr>
                <w:rFonts w:ascii="Times New Roman" w:hAnsi="Times New Roman" w:cs="Times New Roman"/>
                <w:sz w:val="24"/>
                <w:szCs w:val="24"/>
              </w:rPr>
              <w:t xml:space="preserve">inistrijā darbu sākošajiem jaunajiem darbiniekiem, tostarp katrā </w:t>
            </w:r>
            <w:r w:rsidR="005D4F53" w:rsidRPr="00501B3D">
              <w:rPr>
                <w:rFonts w:ascii="Times New Roman" w:hAnsi="Times New Roman" w:cs="Times New Roman"/>
                <w:sz w:val="24"/>
                <w:szCs w:val="24"/>
              </w:rPr>
              <w:t xml:space="preserve">struktūrvienībā </w:t>
            </w:r>
            <w:r w:rsidRPr="00501B3D">
              <w:rPr>
                <w:rFonts w:ascii="Times New Roman" w:hAnsi="Times New Roman" w:cs="Times New Roman"/>
                <w:sz w:val="24"/>
                <w:szCs w:val="24"/>
              </w:rPr>
              <w:t>ieviešot mentorus.</w:t>
            </w:r>
          </w:p>
        </w:tc>
        <w:tc>
          <w:tcPr>
            <w:tcW w:w="1830" w:type="dxa"/>
          </w:tcPr>
          <w:p w14:paraId="33C76F26" w14:textId="005FFBC9" w:rsidR="00547CF0" w:rsidRPr="00501B3D" w:rsidRDefault="00AC2725" w:rsidP="00547CF0">
            <w:pPr>
              <w:tabs>
                <w:tab w:val="left" w:pos="9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PVAD, </w:t>
            </w:r>
            <w:r w:rsidRPr="00501B3D">
              <w:rPr>
                <w:rFonts w:ascii="Times New Roman" w:hAnsi="Times New Roman" w:cs="Times New Roman"/>
                <w:sz w:val="24"/>
                <w:szCs w:val="24"/>
              </w:rPr>
              <w:t>visas Ministrijas struktūrvienības</w:t>
            </w:r>
          </w:p>
        </w:tc>
      </w:tr>
      <w:tr w:rsidR="008B412C" w:rsidRPr="00501B3D" w14:paraId="1ED66904" w14:textId="04FFDC8D" w:rsidTr="008E7353">
        <w:trPr>
          <w:trHeight w:val="306"/>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08E8F095" w14:textId="77777777" w:rsidR="00547CF0" w:rsidRPr="00501B3D" w:rsidRDefault="00547CF0" w:rsidP="00547CF0">
            <w:pPr>
              <w:ind w:left="113" w:right="113"/>
              <w:jc w:val="center"/>
              <w:rPr>
                <w:rFonts w:ascii="Times New Roman" w:hAnsi="Times New Roman" w:cs="Times New Roman"/>
                <w:sz w:val="24"/>
                <w:szCs w:val="24"/>
              </w:rPr>
            </w:pPr>
          </w:p>
        </w:tc>
        <w:tc>
          <w:tcPr>
            <w:tcW w:w="2085" w:type="dxa"/>
            <w:vMerge/>
          </w:tcPr>
          <w:p w14:paraId="6B622997" w14:textId="77777777" w:rsidR="00547CF0" w:rsidRPr="00501B3D" w:rsidRDefault="00547CF0"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2FE27F2A"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1F354B19"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5A8EB394"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2F8C2921"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2F12B433"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7B97E0DD"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0C9A8469" w14:textId="10236DD3" w:rsidR="00547CF0" w:rsidRPr="00501B3D" w:rsidRDefault="00547CF0"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Izstrādāt vienotu</w:t>
            </w:r>
            <w:r w:rsidR="00C7303D" w:rsidRPr="00501B3D">
              <w:rPr>
                <w:rFonts w:ascii="Times New Roman" w:hAnsi="Times New Roman" w:cs="Times New Roman"/>
                <w:sz w:val="24"/>
                <w:szCs w:val="24"/>
              </w:rPr>
              <w:t>s</w:t>
            </w:r>
            <w:r w:rsidRPr="00501B3D">
              <w:rPr>
                <w:rFonts w:ascii="Times New Roman" w:hAnsi="Times New Roman" w:cs="Times New Roman"/>
                <w:sz w:val="24"/>
                <w:szCs w:val="24"/>
              </w:rPr>
              <w:t xml:space="preserve"> apmācību</w:t>
            </w:r>
            <w:r w:rsidR="00777DBC" w:rsidRPr="00501B3D">
              <w:rPr>
                <w:rFonts w:ascii="Times New Roman" w:hAnsi="Times New Roman" w:cs="Times New Roman"/>
                <w:sz w:val="24"/>
                <w:szCs w:val="24"/>
              </w:rPr>
              <w:t xml:space="preserve"> un</w:t>
            </w:r>
            <w:r w:rsidRPr="00501B3D">
              <w:rPr>
                <w:rFonts w:ascii="Times New Roman" w:hAnsi="Times New Roman" w:cs="Times New Roman"/>
                <w:sz w:val="24"/>
                <w:szCs w:val="24"/>
              </w:rPr>
              <w:t xml:space="preserve"> prasmju standartu</w:t>
            </w:r>
            <w:r w:rsidR="00C7303D" w:rsidRPr="00501B3D">
              <w:rPr>
                <w:rFonts w:ascii="Times New Roman" w:hAnsi="Times New Roman" w:cs="Times New Roman"/>
                <w:sz w:val="24"/>
                <w:szCs w:val="24"/>
              </w:rPr>
              <w:t>s</w:t>
            </w:r>
            <w:r w:rsidRPr="00501B3D">
              <w:rPr>
                <w:rFonts w:ascii="Times New Roman" w:hAnsi="Times New Roman" w:cs="Times New Roman"/>
                <w:sz w:val="24"/>
                <w:szCs w:val="24"/>
              </w:rPr>
              <w:t xml:space="preserve"> konkrētām amatu kategorijām.</w:t>
            </w:r>
          </w:p>
        </w:tc>
        <w:tc>
          <w:tcPr>
            <w:tcW w:w="1830" w:type="dxa"/>
          </w:tcPr>
          <w:p w14:paraId="66BCB53B" w14:textId="683F7CF0" w:rsidR="00547CF0" w:rsidRPr="00501B3D" w:rsidRDefault="00AC2725"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PVAD, </w:t>
            </w:r>
            <w:r w:rsidRPr="00501B3D">
              <w:rPr>
                <w:rFonts w:ascii="Times New Roman" w:hAnsi="Times New Roman" w:cs="Times New Roman"/>
                <w:sz w:val="24"/>
                <w:szCs w:val="24"/>
              </w:rPr>
              <w:t>visas Ministrijas struktūrvienības</w:t>
            </w:r>
          </w:p>
        </w:tc>
      </w:tr>
      <w:tr w:rsidR="008B412C" w:rsidRPr="00501B3D" w14:paraId="2C194F9F" w14:textId="7081987C" w:rsidTr="008E7353">
        <w:trPr>
          <w:trHeight w:val="956"/>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67FEF803" w14:textId="77777777" w:rsidR="00547CF0" w:rsidRPr="00501B3D" w:rsidRDefault="00547CF0" w:rsidP="00547CF0">
            <w:pPr>
              <w:ind w:left="113" w:right="113"/>
              <w:jc w:val="center"/>
              <w:rPr>
                <w:rFonts w:ascii="Times New Roman" w:hAnsi="Times New Roman" w:cs="Times New Roman"/>
                <w:sz w:val="24"/>
                <w:szCs w:val="24"/>
              </w:rPr>
            </w:pPr>
          </w:p>
        </w:tc>
        <w:tc>
          <w:tcPr>
            <w:tcW w:w="2085" w:type="dxa"/>
            <w:vMerge w:val="restart"/>
          </w:tcPr>
          <w:p w14:paraId="3B7D7F01" w14:textId="53361633" w:rsidR="00547CF0" w:rsidRPr="00501B3D" w:rsidRDefault="0003072B" w:rsidP="008D613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Nodrošināt sasaisti starp</w:t>
            </w:r>
            <w:r w:rsidR="00563D3C" w:rsidRPr="00501B3D">
              <w:rPr>
                <w:rFonts w:ascii="Times New Roman" w:hAnsi="Times New Roman" w:cs="Times New Roman"/>
                <w:sz w:val="24"/>
                <w:szCs w:val="24"/>
              </w:rPr>
              <w:t xml:space="preserve"> apmācībām ar karjeras izaugsmi, apmācībām un gadskārtējo novērtēšanu. </w:t>
            </w:r>
            <w:r w:rsidR="007E3E00" w:rsidRPr="00501B3D">
              <w:rPr>
                <w:rStyle w:val="FootnoteReference"/>
                <w:rFonts w:ascii="Times New Roman" w:hAnsi="Times New Roman" w:cs="Times New Roman"/>
                <w:sz w:val="24"/>
                <w:szCs w:val="24"/>
              </w:rPr>
              <w:footnoteReference w:id="13"/>
            </w:r>
          </w:p>
        </w:tc>
        <w:tc>
          <w:tcPr>
            <w:tcW w:w="1869" w:type="dxa"/>
            <w:vMerge w:val="restart"/>
          </w:tcPr>
          <w:p w14:paraId="587E2320" w14:textId="529C6E0C" w:rsidR="00547CF0" w:rsidRPr="00501B3D" w:rsidRDefault="00563D3C" w:rsidP="00563D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Ieviesta uz apmācību rezultātu balstīta atlīdzības komponente.</w:t>
            </w:r>
          </w:p>
        </w:tc>
        <w:tc>
          <w:tcPr>
            <w:tcW w:w="944" w:type="dxa"/>
            <w:vMerge w:val="restart"/>
          </w:tcPr>
          <w:p w14:paraId="7A1673B0" w14:textId="37794D1E" w:rsidR="00547CF0" w:rsidRPr="00501B3D" w:rsidRDefault="00563D3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1510" w:type="dxa"/>
            <w:vMerge w:val="restart"/>
          </w:tcPr>
          <w:p w14:paraId="4A612AD0" w14:textId="636D6AF6" w:rsidR="00547CF0" w:rsidRPr="00501B3D" w:rsidRDefault="00563D3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756" w:type="dxa"/>
            <w:vMerge w:val="restart"/>
          </w:tcPr>
          <w:p w14:paraId="0CB43B6B" w14:textId="6BD55155" w:rsidR="00547CF0" w:rsidRPr="00501B3D" w:rsidRDefault="00563D3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776" w:type="dxa"/>
            <w:vMerge w:val="restart"/>
          </w:tcPr>
          <w:p w14:paraId="795820C7" w14:textId="300E4315" w:rsidR="00547CF0" w:rsidRPr="00501B3D" w:rsidRDefault="00563D3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A</w:t>
            </w:r>
            <w:r w:rsidR="00F72473" w:rsidRPr="00501B3D">
              <w:rPr>
                <w:rFonts w:ascii="Times New Roman" w:hAnsi="Times New Roman" w:cs="Times New Roman"/>
                <w:sz w:val="24"/>
                <w:szCs w:val="24"/>
              </w:rPr>
              <w:t>r 2026. gadu.</w:t>
            </w:r>
          </w:p>
        </w:tc>
        <w:tc>
          <w:tcPr>
            <w:tcW w:w="2088" w:type="dxa"/>
            <w:vMerge w:val="restart"/>
          </w:tcPr>
          <w:p w14:paraId="44EE793D"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0BADF83F" w14:textId="431DB29F" w:rsidR="00547CF0" w:rsidRPr="00501B3D" w:rsidRDefault="00547CF0" w:rsidP="00835C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Veikt izvērtējumu par </w:t>
            </w:r>
            <w:r w:rsidR="00835CFE" w:rsidRPr="00501B3D">
              <w:rPr>
                <w:rFonts w:ascii="Times New Roman" w:hAnsi="Times New Roman" w:cs="Times New Roman"/>
                <w:sz w:val="24"/>
                <w:szCs w:val="24"/>
              </w:rPr>
              <w:t>optimālāko nodarbināto motivēšanas risinājumu tiem noteikto ikgadējo mācību standartu izpildei.</w:t>
            </w:r>
          </w:p>
        </w:tc>
        <w:tc>
          <w:tcPr>
            <w:tcW w:w="1830" w:type="dxa"/>
          </w:tcPr>
          <w:p w14:paraId="36C3B725" w14:textId="772750E7" w:rsidR="00547CF0" w:rsidRPr="00501B3D" w:rsidRDefault="005367EF"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PVAD</w:t>
            </w:r>
          </w:p>
        </w:tc>
      </w:tr>
      <w:tr w:rsidR="008B412C" w:rsidRPr="00501B3D" w14:paraId="6237BDE1" w14:textId="0D55E814" w:rsidTr="008E7353">
        <w:trPr>
          <w:trHeight w:val="955"/>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350801AB" w14:textId="77777777" w:rsidR="00547CF0" w:rsidRPr="00501B3D" w:rsidRDefault="00547CF0" w:rsidP="00547CF0">
            <w:pPr>
              <w:ind w:left="113" w:right="113"/>
              <w:jc w:val="center"/>
              <w:rPr>
                <w:rFonts w:ascii="Times New Roman" w:hAnsi="Times New Roman" w:cs="Times New Roman"/>
                <w:sz w:val="24"/>
                <w:szCs w:val="24"/>
              </w:rPr>
            </w:pPr>
          </w:p>
        </w:tc>
        <w:tc>
          <w:tcPr>
            <w:tcW w:w="2085" w:type="dxa"/>
            <w:vMerge/>
          </w:tcPr>
          <w:p w14:paraId="0F34C069" w14:textId="77777777" w:rsidR="00547CF0" w:rsidRPr="00501B3D" w:rsidRDefault="00547CF0"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75C633F7"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4FC470EF"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3E2D515F"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6B978D77"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301AF3E9"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150BF7DB" w14:textId="77777777" w:rsidR="00547CF0" w:rsidRPr="00501B3D" w:rsidRDefault="00547CF0"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0730479B" w14:textId="16E4C819" w:rsidR="00547CF0" w:rsidRPr="00501B3D" w:rsidRDefault="00547CF0" w:rsidP="00563D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Veikt grozījumus iekšējos normatīvajos aktos vai novērtēšanas vadlīnijās</w:t>
            </w:r>
            <w:r w:rsidR="00FA4920" w:rsidRPr="00501B3D">
              <w:rPr>
                <w:rFonts w:ascii="Times New Roman" w:hAnsi="Times New Roman" w:cs="Times New Roman"/>
                <w:sz w:val="24"/>
                <w:szCs w:val="24"/>
              </w:rPr>
              <w:t xml:space="preserve">, </w:t>
            </w:r>
            <w:r w:rsidRPr="00501B3D">
              <w:rPr>
                <w:rFonts w:ascii="Times New Roman" w:hAnsi="Times New Roman" w:cs="Times New Roman"/>
                <w:sz w:val="24"/>
                <w:szCs w:val="24"/>
              </w:rPr>
              <w:t>sasaistot nodarbināto apmācības ar karjeras izaugsmi</w:t>
            </w:r>
            <w:r w:rsidR="00AA3598" w:rsidRPr="00501B3D">
              <w:rPr>
                <w:rFonts w:ascii="Times New Roman" w:hAnsi="Times New Roman" w:cs="Times New Roman"/>
                <w:sz w:val="24"/>
                <w:szCs w:val="24"/>
              </w:rPr>
              <w:t xml:space="preserve"> </w:t>
            </w:r>
            <w:r w:rsidRPr="00501B3D">
              <w:rPr>
                <w:rFonts w:ascii="Times New Roman" w:hAnsi="Times New Roman" w:cs="Times New Roman"/>
                <w:sz w:val="24"/>
                <w:szCs w:val="24"/>
              </w:rPr>
              <w:t>vai ikgadējo novērtēšanu.</w:t>
            </w:r>
          </w:p>
        </w:tc>
        <w:tc>
          <w:tcPr>
            <w:tcW w:w="1830" w:type="dxa"/>
          </w:tcPr>
          <w:p w14:paraId="33B4EE61" w14:textId="5DD04F98" w:rsidR="00547CF0" w:rsidRPr="00501B3D" w:rsidRDefault="005367EF"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PVAD</w:t>
            </w:r>
          </w:p>
        </w:tc>
      </w:tr>
      <w:tr w:rsidR="00A84EFB" w:rsidRPr="00501B3D" w14:paraId="140DAE90" w14:textId="3F29D209" w:rsidTr="008E7353">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62104C38" w14:textId="77777777" w:rsidR="00547CF0" w:rsidRPr="00501B3D" w:rsidRDefault="00547CF0" w:rsidP="00547CF0">
            <w:pPr>
              <w:ind w:left="113" w:right="113"/>
              <w:jc w:val="center"/>
              <w:rPr>
                <w:rFonts w:ascii="Times New Roman" w:hAnsi="Times New Roman" w:cs="Times New Roman"/>
                <w:sz w:val="24"/>
                <w:szCs w:val="24"/>
              </w:rPr>
            </w:pPr>
          </w:p>
        </w:tc>
        <w:tc>
          <w:tcPr>
            <w:tcW w:w="2085" w:type="dxa"/>
          </w:tcPr>
          <w:p w14:paraId="7F818AF8" w14:textId="150512A2" w:rsidR="0003072B" w:rsidRPr="00501B3D" w:rsidRDefault="0003072B" w:rsidP="000307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Izveidot</w:t>
            </w:r>
            <w:r w:rsidR="00263D45" w:rsidRPr="00501B3D">
              <w:rPr>
                <w:rFonts w:ascii="Times New Roman" w:hAnsi="Times New Roman" w:cs="Times New Roman"/>
                <w:sz w:val="24"/>
                <w:szCs w:val="24"/>
              </w:rPr>
              <w:t>a</w:t>
            </w:r>
            <w:r w:rsidR="00C94108" w:rsidRPr="00501B3D">
              <w:rPr>
                <w:rFonts w:ascii="Times New Roman" w:hAnsi="Times New Roman" w:cs="Times New Roman"/>
                <w:sz w:val="24"/>
                <w:szCs w:val="24"/>
              </w:rPr>
              <w:t xml:space="preserve"> mācību nodrošināšanas sistēma</w:t>
            </w:r>
            <w:r w:rsidR="001D697F" w:rsidRPr="00501B3D">
              <w:rPr>
                <w:rStyle w:val="FootnoteReference"/>
                <w:rFonts w:ascii="Times New Roman" w:hAnsi="Times New Roman" w:cs="Times New Roman"/>
                <w:sz w:val="24"/>
                <w:szCs w:val="24"/>
              </w:rPr>
              <w:footnoteReference w:id="14"/>
            </w:r>
            <w:r w:rsidR="00C94108" w:rsidRPr="00501B3D">
              <w:rPr>
                <w:rFonts w:ascii="Times New Roman" w:hAnsi="Times New Roman" w:cs="Times New Roman"/>
                <w:sz w:val="24"/>
                <w:szCs w:val="24"/>
              </w:rPr>
              <w:t>, tajā skaitā izmantojot</w:t>
            </w:r>
            <w:r w:rsidRPr="00501B3D">
              <w:rPr>
                <w:rFonts w:ascii="Times New Roman" w:hAnsi="Times New Roman" w:cs="Times New Roman"/>
                <w:sz w:val="24"/>
                <w:szCs w:val="24"/>
              </w:rPr>
              <w:t xml:space="preserve">,  iekšlietu nozares resursus. </w:t>
            </w:r>
          </w:p>
          <w:p w14:paraId="2648E8CC" w14:textId="573834D9" w:rsidR="00547CF0" w:rsidRPr="00501B3D" w:rsidRDefault="00547CF0" w:rsidP="00835C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tcPr>
          <w:p w14:paraId="56179587" w14:textId="5B226386" w:rsidR="00547CF0" w:rsidRPr="00501B3D" w:rsidRDefault="001D697F"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944" w:type="dxa"/>
          </w:tcPr>
          <w:p w14:paraId="61D03774" w14:textId="7F241791" w:rsidR="00547CF0" w:rsidRPr="00501B3D" w:rsidRDefault="001D697F"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1510" w:type="dxa"/>
          </w:tcPr>
          <w:p w14:paraId="0BEC4E10" w14:textId="18B3F8C4" w:rsidR="00547CF0" w:rsidRPr="00501B3D" w:rsidRDefault="00F72473"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Ieviesta ar 2024. gadu.</w:t>
            </w:r>
          </w:p>
        </w:tc>
        <w:tc>
          <w:tcPr>
            <w:tcW w:w="756" w:type="dxa"/>
          </w:tcPr>
          <w:p w14:paraId="037B6507" w14:textId="4A8607BA" w:rsidR="00547CF0" w:rsidRPr="00501B3D" w:rsidRDefault="001D697F"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776" w:type="dxa"/>
          </w:tcPr>
          <w:p w14:paraId="2FDF6D46" w14:textId="130B4B52" w:rsidR="00547CF0" w:rsidRPr="00501B3D" w:rsidRDefault="001D697F"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2088" w:type="dxa"/>
          </w:tcPr>
          <w:p w14:paraId="296FE4F5" w14:textId="7F61D0AC" w:rsidR="00547CF0" w:rsidRPr="00501B3D" w:rsidRDefault="001D697F"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2242" w:type="dxa"/>
          </w:tcPr>
          <w:p w14:paraId="44AF4C44" w14:textId="12018587" w:rsidR="00547CF0" w:rsidRPr="00501B3D" w:rsidRDefault="00547CF0" w:rsidP="00F724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Izveidot platformu</w:t>
            </w:r>
            <w:r w:rsidR="00F72473" w:rsidRPr="00501B3D">
              <w:rPr>
                <w:rFonts w:ascii="Times New Roman" w:hAnsi="Times New Roman" w:cs="Times New Roman"/>
                <w:sz w:val="24"/>
                <w:szCs w:val="24"/>
              </w:rPr>
              <w:t>, kurā var ievietot nepieciešamos mācību materiālus un izveidot individuālus kursus.</w:t>
            </w:r>
          </w:p>
        </w:tc>
        <w:tc>
          <w:tcPr>
            <w:tcW w:w="1830" w:type="dxa"/>
          </w:tcPr>
          <w:p w14:paraId="426B7218" w14:textId="69B88A70" w:rsidR="00547CF0" w:rsidRPr="00501B3D" w:rsidRDefault="005367EF"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PVAD</w:t>
            </w:r>
          </w:p>
        </w:tc>
      </w:tr>
      <w:tr w:rsidR="008B412C" w:rsidRPr="00501B3D" w14:paraId="128308A8" w14:textId="5D0EECAE" w:rsidTr="008E7353">
        <w:trPr>
          <w:trHeight w:val="913"/>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10FB5356" w14:textId="77777777" w:rsidR="00CA6295" w:rsidRPr="00501B3D" w:rsidRDefault="00CA6295" w:rsidP="00547CF0">
            <w:pPr>
              <w:ind w:left="113" w:right="113"/>
              <w:jc w:val="center"/>
              <w:rPr>
                <w:rFonts w:ascii="Times New Roman" w:hAnsi="Times New Roman" w:cs="Times New Roman"/>
                <w:b w:val="0"/>
                <w:sz w:val="24"/>
                <w:szCs w:val="24"/>
              </w:rPr>
            </w:pPr>
          </w:p>
        </w:tc>
        <w:tc>
          <w:tcPr>
            <w:tcW w:w="2085" w:type="dxa"/>
            <w:vMerge w:val="restart"/>
          </w:tcPr>
          <w:p w14:paraId="14B8C0DE" w14:textId="7875DDE8" w:rsidR="00CA6295" w:rsidRPr="00501B3D" w:rsidRDefault="00CA6295"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Nodrošināt mācību iespējas (lekcijas, semināri, tajā skaitā tiešsaistē, pārbaudījumi) izstrādāto standartu ieviešanai.</w:t>
            </w:r>
          </w:p>
        </w:tc>
        <w:tc>
          <w:tcPr>
            <w:tcW w:w="1869" w:type="dxa"/>
            <w:vMerge w:val="restart"/>
          </w:tcPr>
          <w:p w14:paraId="0ECBC816" w14:textId="0F003DFF"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Mācību iespēju rezultātā apmācīto darbinieku skaits (%).</w:t>
            </w:r>
          </w:p>
        </w:tc>
        <w:tc>
          <w:tcPr>
            <w:tcW w:w="944" w:type="dxa"/>
            <w:vMerge w:val="restart"/>
          </w:tcPr>
          <w:p w14:paraId="3AC7B9C0" w14:textId="0BD3480C" w:rsidR="00CA6295" w:rsidRPr="00501B3D" w:rsidRDefault="00CA6295" w:rsidP="00CA6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r w:rsidRPr="00501B3D">
              <w:rPr>
                <w:rStyle w:val="FootnoteReference"/>
                <w:rFonts w:ascii="Times New Roman" w:hAnsi="Times New Roman" w:cs="Times New Roman"/>
                <w:sz w:val="24"/>
                <w:szCs w:val="24"/>
              </w:rPr>
              <w:footnoteReference w:id="15"/>
            </w:r>
            <w:r w:rsidRPr="00501B3D">
              <w:rPr>
                <w:rFonts w:ascii="Times New Roman" w:hAnsi="Times New Roman" w:cs="Times New Roman"/>
                <w:sz w:val="24"/>
                <w:szCs w:val="24"/>
              </w:rPr>
              <w:t xml:space="preserve"> </w:t>
            </w:r>
          </w:p>
        </w:tc>
        <w:tc>
          <w:tcPr>
            <w:tcW w:w="1510" w:type="dxa"/>
            <w:vMerge w:val="restart"/>
          </w:tcPr>
          <w:p w14:paraId="1B2DD8B6" w14:textId="31263788"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Sākot ar 2024. gadu.</w:t>
            </w:r>
          </w:p>
        </w:tc>
        <w:tc>
          <w:tcPr>
            <w:tcW w:w="756" w:type="dxa"/>
            <w:vMerge w:val="restart"/>
          </w:tcPr>
          <w:p w14:paraId="48DF8F6A" w14:textId="2C0B44E2"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60%</w:t>
            </w:r>
          </w:p>
        </w:tc>
        <w:tc>
          <w:tcPr>
            <w:tcW w:w="776" w:type="dxa"/>
            <w:vMerge w:val="restart"/>
          </w:tcPr>
          <w:p w14:paraId="438DB26B" w14:textId="7554EC6B"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70%</w:t>
            </w:r>
          </w:p>
        </w:tc>
        <w:tc>
          <w:tcPr>
            <w:tcW w:w="2088" w:type="dxa"/>
            <w:vMerge w:val="restart"/>
          </w:tcPr>
          <w:p w14:paraId="2E0295B4" w14:textId="63DD06CC"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80%</w:t>
            </w:r>
          </w:p>
        </w:tc>
        <w:tc>
          <w:tcPr>
            <w:tcW w:w="2242" w:type="dxa"/>
          </w:tcPr>
          <w:p w14:paraId="4866754B" w14:textId="3A38F445" w:rsidR="00CA6295" w:rsidRPr="00501B3D" w:rsidRDefault="00CA6295" w:rsidP="00CA62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Izstrādāts mācību </w:t>
            </w:r>
            <w:r w:rsidR="00A535E6" w:rsidRPr="00501B3D">
              <w:rPr>
                <w:rFonts w:ascii="Times New Roman" w:hAnsi="Times New Roman" w:cs="Times New Roman"/>
                <w:sz w:val="24"/>
                <w:szCs w:val="24"/>
              </w:rPr>
              <w:t xml:space="preserve">plāns </w:t>
            </w:r>
            <w:r w:rsidRPr="00501B3D">
              <w:rPr>
                <w:rFonts w:ascii="Times New Roman" w:hAnsi="Times New Roman" w:cs="Times New Roman"/>
                <w:sz w:val="24"/>
                <w:szCs w:val="24"/>
              </w:rPr>
              <w:t>katru gadu.</w:t>
            </w:r>
          </w:p>
        </w:tc>
        <w:tc>
          <w:tcPr>
            <w:tcW w:w="1830" w:type="dxa"/>
          </w:tcPr>
          <w:p w14:paraId="209AA947" w14:textId="35FFD2E2"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PVAD, </w:t>
            </w:r>
            <w:r w:rsidRPr="00501B3D">
              <w:rPr>
                <w:rFonts w:ascii="Times New Roman" w:hAnsi="Times New Roman" w:cs="Times New Roman"/>
                <w:sz w:val="24"/>
                <w:szCs w:val="24"/>
              </w:rPr>
              <w:t>visas Ministrijas struktūrvienības</w:t>
            </w:r>
          </w:p>
        </w:tc>
      </w:tr>
      <w:tr w:rsidR="008B412C" w:rsidRPr="00501B3D" w14:paraId="07712E54" w14:textId="48E0A176" w:rsidTr="008E7353">
        <w:trPr>
          <w:trHeight w:val="913"/>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extDirection w:val="btLr"/>
          </w:tcPr>
          <w:p w14:paraId="562DEB28" w14:textId="77777777" w:rsidR="00CA6295" w:rsidRPr="00501B3D" w:rsidRDefault="00CA6295" w:rsidP="00547CF0">
            <w:pPr>
              <w:ind w:left="113" w:right="113"/>
              <w:jc w:val="center"/>
              <w:rPr>
                <w:rFonts w:ascii="Times New Roman" w:hAnsi="Times New Roman" w:cs="Times New Roman"/>
                <w:b w:val="0"/>
                <w:sz w:val="24"/>
                <w:szCs w:val="24"/>
              </w:rPr>
            </w:pPr>
          </w:p>
        </w:tc>
        <w:tc>
          <w:tcPr>
            <w:tcW w:w="2085" w:type="dxa"/>
            <w:vMerge/>
          </w:tcPr>
          <w:p w14:paraId="3AA33FD6" w14:textId="77777777" w:rsidR="00CA6295" w:rsidRPr="00501B3D" w:rsidRDefault="00CA6295" w:rsidP="00547C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23D4DA92"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37D1E71C"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0A9BEF5F"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1B3ACCF5"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39D58462"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4F4471FA" w14:textId="77777777"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0FD55D83" w14:textId="46B6CB9B" w:rsidR="00CA6295" w:rsidRPr="00501B3D" w:rsidRDefault="00CA6295" w:rsidP="00FA49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Piesaistīt lektorus no nozarē nodarbināto  vidus vai ārējos ekspertus (lektorus).</w:t>
            </w:r>
          </w:p>
        </w:tc>
        <w:tc>
          <w:tcPr>
            <w:tcW w:w="1830" w:type="dxa"/>
          </w:tcPr>
          <w:p w14:paraId="6C9F136A" w14:textId="0711C1AA" w:rsidR="00CA6295" w:rsidRPr="00501B3D" w:rsidRDefault="00CA6295"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 xml:space="preserve">PVAD, </w:t>
            </w:r>
            <w:r w:rsidRPr="00501B3D">
              <w:rPr>
                <w:rFonts w:ascii="Times New Roman" w:hAnsi="Times New Roman" w:cs="Times New Roman"/>
                <w:sz w:val="24"/>
                <w:szCs w:val="24"/>
              </w:rPr>
              <w:t>visas Ministrijas struktūrvienības</w:t>
            </w:r>
          </w:p>
        </w:tc>
      </w:tr>
      <w:tr w:rsidR="008B412C" w:rsidRPr="00501B3D" w14:paraId="08D513B8" w14:textId="2DB8CAC3" w:rsidTr="008E7353">
        <w:trPr>
          <w:trHeight w:val="484"/>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D9E2F3" w:themeFill="accent5" w:themeFillTint="33"/>
            <w:textDirection w:val="btLr"/>
          </w:tcPr>
          <w:p w14:paraId="320FA2BF" w14:textId="77777777" w:rsidR="00A7068D" w:rsidRPr="00501B3D" w:rsidRDefault="00A7068D" w:rsidP="00A7068D">
            <w:pPr>
              <w:ind w:left="113" w:right="113"/>
              <w:jc w:val="center"/>
              <w:rPr>
                <w:rFonts w:ascii="Times New Roman" w:hAnsi="Times New Roman" w:cs="Times New Roman"/>
                <w:sz w:val="24"/>
                <w:szCs w:val="24"/>
              </w:rPr>
            </w:pPr>
            <w:r w:rsidRPr="00501B3D">
              <w:rPr>
                <w:rFonts w:ascii="Times New Roman" w:hAnsi="Times New Roman" w:cs="Times New Roman"/>
                <w:sz w:val="24"/>
                <w:szCs w:val="24"/>
              </w:rPr>
              <w:t>Finanses</w:t>
            </w:r>
          </w:p>
        </w:tc>
        <w:tc>
          <w:tcPr>
            <w:tcW w:w="2085" w:type="dxa"/>
            <w:vMerge w:val="restart"/>
          </w:tcPr>
          <w:p w14:paraId="1CE34BE3" w14:textId="18DEA19F" w:rsidR="00A7068D" w:rsidRPr="00501B3D" w:rsidRDefault="00A7068D" w:rsidP="00A706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Nodrošināt nepieciešamo finansējumu darbinieku </w:t>
            </w:r>
            <w:r w:rsidRPr="00501B3D">
              <w:rPr>
                <w:rFonts w:ascii="Times New Roman" w:hAnsi="Times New Roman" w:cs="Times New Roman"/>
                <w:sz w:val="24"/>
                <w:szCs w:val="24"/>
              </w:rPr>
              <w:lastRenderedPageBreak/>
              <w:t>kvalifikācijas paaugstināšanai</w:t>
            </w:r>
            <w:r w:rsidR="008E7353">
              <w:rPr>
                <w:rFonts w:ascii="Times New Roman" w:hAnsi="Times New Roman" w:cs="Times New Roman"/>
                <w:sz w:val="24"/>
                <w:szCs w:val="24"/>
              </w:rPr>
              <w:t>.</w:t>
            </w:r>
          </w:p>
        </w:tc>
        <w:tc>
          <w:tcPr>
            <w:tcW w:w="1869" w:type="dxa"/>
            <w:vMerge w:val="restart"/>
          </w:tcPr>
          <w:p w14:paraId="56E2F66A" w14:textId="5B8CD3FB"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lastRenderedPageBreak/>
              <w:t xml:space="preserve">Finansējums kvalifikācijas paaugstināšanas pasākumiem </w:t>
            </w:r>
            <w:proofErr w:type="spellStart"/>
            <w:r w:rsidRPr="00501B3D">
              <w:rPr>
                <w:rFonts w:ascii="Times New Roman" w:hAnsi="Times New Roman" w:cs="Times New Roman"/>
                <w:i/>
                <w:sz w:val="24"/>
                <w:szCs w:val="24"/>
              </w:rPr>
              <w:t>euro</w:t>
            </w:r>
            <w:proofErr w:type="spellEnd"/>
          </w:p>
        </w:tc>
        <w:tc>
          <w:tcPr>
            <w:tcW w:w="944" w:type="dxa"/>
            <w:vMerge w:val="restart"/>
          </w:tcPr>
          <w:p w14:paraId="5C142E20" w14:textId="44AD2EA8"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w:t>
            </w:r>
          </w:p>
        </w:tc>
        <w:tc>
          <w:tcPr>
            <w:tcW w:w="1510" w:type="dxa"/>
            <w:vMerge w:val="restart"/>
          </w:tcPr>
          <w:p w14:paraId="0D3A77DE" w14:textId="42E3C124"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Sākot ar 2024. gadu.</w:t>
            </w:r>
          </w:p>
        </w:tc>
        <w:tc>
          <w:tcPr>
            <w:tcW w:w="756" w:type="dxa"/>
            <w:vMerge w:val="restart"/>
          </w:tcPr>
          <w:p w14:paraId="171524E4" w14:textId="4E2B310F"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24 380</w:t>
            </w:r>
          </w:p>
        </w:tc>
        <w:tc>
          <w:tcPr>
            <w:tcW w:w="776" w:type="dxa"/>
            <w:vMerge w:val="restart"/>
          </w:tcPr>
          <w:p w14:paraId="2134FCDF" w14:textId="6A05EF34"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24 380</w:t>
            </w:r>
          </w:p>
        </w:tc>
        <w:tc>
          <w:tcPr>
            <w:tcW w:w="2088" w:type="dxa"/>
            <w:vMerge w:val="restart"/>
          </w:tcPr>
          <w:p w14:paraId="08D5B9C7" w14:textId="00B6872B"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24 380</w:t>
            </w:r>
          </w:p>
        </w:tc>
        <w:tc>
          <w:tcPr>
            <w:tcW w:w="2242" w:type="dxa"/>
          </w:tcPr>
          <w:p w14:paraId="0A44B4B4" w14:textId="26F89942" w:rsidR="00A7068D" w:rsidRPr="00501B3D" w:rsidRDefault="00A7068D" w:rsidP="00A706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 xml:space="preserve">Izvērtēt esošo finanšu līdzekļu izlietojumu un paredzētos resursus kvalifikācijas </w:t>
            </w:r>
            <w:r w:rsidRPr="00501B3D">
              <w:rPr>
                <w:rFonts w:ascii="Times New Roman" w:hAnsi="Times New Roman" w:cs="Times New Roman"/>
                <w:sz w:val="24"/>
                <w:szCs w:val="24"/>
              </w:rPr>
              <w:lastRenderedPageBreak/>
              <w:t>paaugstināšanai un attīstībai. Pārorientēt tos jaunā modeļa ieviešanai.</w:t>
            </w:r>
          </w:p>
        </w:tc>
        <w:tc>
          <w:tcPr>
            <w:tcW w:w="1830" w:type="dxa"/>
          </w:tcPr>
          <w:p w14:paraId="25475B0E" w14:textId="48B13CA8" w:rsidR="00A7068D" w:rsidRPr="00501B3D" w:rsidRDefault="00A7068D" w:rsidP="00A706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lastRenderedPageBreak/>
              <w:t>FVD , PVAD</w:t>
            </w:r>
          </w:p>
        </w:tc>
      </w:tr>
      <w:tr w:rsidR="00A84EFB" w:rsidRPr="00501B3D" w14:paraId="0D8E92CB" w14:textId="3D7CF51D" w:rsidTr="008E7353">
        <w:trPr>
          <w:trHeight w:val="1380"/>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9E2F3" w:themeFill="accent5" w:themeFillTint="33"/>
          </w:tcPr>
          <w:p w14:paraId="71622167" w14:textId="77777777" w:rsidR="0060448C" w:rsidRPr="00501B3D" w:rsidRDefault="0060448C" w:rsidP="00547CF0">
            <w:pPr>
              <w:rPr>
                <w:rFonts w:ascii="Times New Roman" w:hAnsi="Times New Roman" w:cs="Times New Roman"/>
                <w:sz w:val="24"/>
                <w:szCs w:val="24"/>
              </w:rPr>
            </w:pPr>
          </w:p>
        </w:tc>
        <w:tc>
          <w:tcPr>
            <w:tcW w:w="2085" w:type="dxa"/>
            <w:vMerge/>
          </w:tcPr>
          <w:p w14:paraId="5CA86906"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9" w:type="dxa"/>
            <w:vMerge/>
          </w:tcPr>
          <w:p w14:paraId="43D1E7B7"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4" w:type="dxa"/>
            <w:vMerge/>
          </w:tcPr>
          <w:p w14:paraId="66B33DD5"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vMerge/>
          </w:tcPr>
          <w:p w14:paraId="0557F2DE"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vMerge/>
          </w:tcPr>
          <w:p w14:paraId="1A0CE400"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6" w:type="dxa"/>
            <w:vMerge/>
          </w:tcPr>
          <w:p w14:paraId="7B93940F"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88" w:type="dxa"/>
            <w:vMerge/>
          </w:tcPr>
          <w:p w14:paraId="67A40F43" w14:textId="77777777"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42" w:type="dxa"/>
          </w:tcPr>
          <w:p w14:paraId="5874695E" w14:textId="425E9048" w:rsidR="0060448C" w:rsidRPr="00501B3D" w:rsidRDefault="0060448C" w:rsidP="00FA49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sz w:val="24"/>
                <w:szCs w:val="24"/>
              </w:rPr>
              <w:t>Sagatavot priekšlikumus par finanšu resursu avotiem</w:t>
            </w:r>
            <w:r w:rsidR="00654600" w:rsidRPr="00501B3D">
              <w:rPr>
                <w:rFonts w:ascii="Times New Roman" w:hAnsi="Times New Roman" w:cs="Times New Roman"/>
                <w:sz w:val="24"/>
                <w:szCs w:val="24"/>
              </w:rPr>
              <w:t>.</w:t>
            </w:r>
          </w:p>
        </w:tc>
        <w:tc>
          <w:tcPr>
            <w:tcW w:w="1830" w:type="dxa"/>
          </w:tcPr>
          <w:p w14:paraId="7DD428E1" w14:textId="2F471AC6" w:rsidR="0060448C" w:rsidRPr="00501B3D" w:rsidRDefault="0060448C" w:rsidP="00547C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1B3D">
              <w:rPr>
                <w:rFonts w:ascii="Times New Roman" w:hAnsi="Times New Roman" w:cs="Times New Roman"/>
                <w:b/>
                <w:sz w:val="24"/>
                <w:szCs w:val="24"/>
              </w:rPr>
              <w:t>FVD</w:t>
            </w:r>
          </w:p>
        </w:tc>
      </w:tr>
      <w:tr w:rsidR="008E7353" w:rsidRPr="00501B3D" w14:paraId="055D2249" w14:textId="77777777" w:rsidTr="008E7353">
        <w:trPr>
          <w:trHeight w:val="1380"/>
        </w:trPr>
        <w:tc>
          <w:tcPr>
            <w:cnfStyle w:val="001000000000" w:firstRow="0" w:lastRow="0" w:firstColumn="1" w:lastColumn="0" w:oddVBand="0" w:evenVBand="0" w:oddHBand="0" w:evenHBand="0" w:firstRowFirstColumn="0" w:firstRowLastColumn="0" w:lastRowFirstColumn="0" w:lastRowLastColumn="0"/>
            <w:tcW w:w="506" w:type="dxa"/>
            <w:shd w:val="clear" w:color="auto" w:fill="D9E2F3" w:themeFill="accent5" w:themeFillTint="33"/>
          </w:tcPr>
          <w:p w14:paraId="5413E657" w14:textId="77777777" w:rsidR="008E7353" w:rsidRPr="00501B3D" w:rsidRDefault="008E7353" w:rsidP="008E7353">
            <w:pPr>
              <w:rPr>
                <w:rFonts w:ascii="Times New Roman" w:hAnsi="Times New Roman" w:cs="Times New Roman"/>
                <w:sz w:val="24"/>
                <w:szCs w:val="24"/>
              </w:rPr>
            </w:pPr>
          </w:p>
        </w:tc>
        <w:tc>
          <w:tcPr>
            <w:tcW w:w="2085" w:type="dxa"/>
          </w:tcPr>
          <w:p w14:paraId="1A786CA7" w14:textId="084E9FF2"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9" w:name="_Hlk184719456"/>
            <w:r w:rsidRPr="008E7353">
              <w:rPr>
                <w:rFonts w:ascii="Times New Roman" w:hAnsi="Times New Roman" w:cs="Times New Roman"/>
                <w:sz w:val="24"/>
                <w:szCs w:val="24"/>
              </w:rPr>
              <w:t>ES un ārvalstu finansējuma  piesaiste, ieviešana un uzraudzība</w:t>
            </w:r>
            <w:bookmarkEnd w:id="9"/>
            <w:r w:rsidRPr="008E7353">
              <w:rPr>
                <w:rFonts w:ascii="Times New Roman" w:hAnsi="Times New Roman" w:cs="Times New Roman"/>
                <w:sz w:val="24"/>
                <w:szCs w:val="24"/>
              </w:rPr>
              <w:t>.</w:t>
            </w:r>
          </w:p>
        </w:tc>
        <w:tc>
          <w:tcPr>
            <w:tcW w:w="1869" w:type="dxa"/>
          </w:tcPr>
          <w:p w14:paraId="18ECFC5E" w14:textId="49A80A9F"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0" w:name="_Hlk184719472"/>
            <w:r w:rsidRPr="008E7353">
              <w:rPr>
                <w:rFonts w:ascii="Times New Roman" w:hAnsi="Times New Roman" w:cs="Times New Roman"/>
                <w:sz w:val="24"/>
                <w:szCs w:val="24"/>
              </w:rPr>
              <w:t xml:space="preserve">Piesaistīto projektu skaits </w:t>
            </w:r>
            <w:bookmarkEnd w:id="10"/>
          </w:p>
        </w:tc>
        <w:tc>
          <w:tcPr>
            <w:tcW w:w="944" w:type="dxa"/>
          </w:tcPr>
          <w:p w14:paraId="569A5061" w14:textId="77777777"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0" w:type="dxa"/>
          </w:tcPr>
          <w:p w14:paraId="790A75D9" w14:textId="4481EC97"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353">
              <w:rPr>
                <w:rFonts w:ascii="Times New Roman" w:hAnsi="Times New Roman" w:cs="Times New Roman"/>
                <w:sz w:val="24"/>
                <w:szCs w:val="24"/>
              </w:rPr>
              <w:t>2</w:t>
            </w:r>
          </w:p>
        </w:tc>
        <w:tc>
          <w:tcPr>
            <w:tcW w:w="756" w:type="dxa"/>
          </w:tcPr>
          <w:p w14:paraId="2157F328" w14:textId="04623C78"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353">
              <w:rPr>
                <w:rFonts w:ascii="Times New Roman" w:hAnsi="Times New Roman" w:cs="Times New Roman"/>
                <w:sz w:val="24"/>
                <w:szCs w:val="24"/>
              </w:rPr>
              <w:t>2</w:t>
            </w:r>
          </w:p>
        </w:tc>
        <w:tc>
          <w:tcPr>
            <w:tcW w:w="776" w:type="dxa"/>
          </w:tcPr>
          <w:p w14:paraId="4617F99B" w14:textId="3F290CE0"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353">
              <w:rPr>
                <w:rFonts w:ascii="Times New Roman" w:hAnsi="Times New Roman" w:cs="Times New Roman"/>
                <w:sz w:val="24"/>
                <w:szCs w:val="24"/>
              </w:rPr>
              <w:t>3</w:t>
            </w:r>
          </w:p>
        </w:tc>
        <w:tc>
          <w:tcPr>
            <w:tcW w:w="2088" w:type="dxa"/>
          </w:tcPr>
          <w:p w14:paraId="20CF925E" w14:textId="36550CE3"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353">
              <w:rPr>
                <w:rFonts w:ascii="Times New Roman" w:hAnsi="Times New Roman" w:cs="Times New Roman"/>
                <w:sz w:val="24"/>
                <w:szCs w:val="24"/>
              </w:rPr>
              <w:t>3</w:t>
            </w:r>
          </w:p>
        </w:tc>
        <w:tc>
          <w:tcPr>
            <w:tcW w:w="2242" w:type="dxa"/>
          </w:tcPr>
          <w:p w14:paraId="577BEB15" w14:textId="076D547B" w:rsidR="008E7353" w:rsidRPr="008E7353" w:rsidRDefault="008E7353" w:rsidP="008E73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82828"/>
                <w:sz w:val="24"/>
                <w:szCs w:val="24"/>
                <w:shd w:val="clear" w:color="auto" w:fill="FFFFFF"/>
              </w:rPr>
            </w:pPr>
            <w:bookmarkStart w:id="11" w:name="_Hlk184719490"/>
            <w:r w:rsidRPr="008E7353">
              <w:rPr>
                <w:rFonts w:ascii="Times New Roman" w:hAnsi="Times New Roman" w:cs="Times New Roman"/>
                <w:bCs/>
                <w:color w:val="282828"/>
                <w:sz w:val="24"/>
                <w:szCs w:val="24"/>
                <w:shd w:val="clear" w:color="auto" w:fill="FFFFFF"/>
              </w:rPr>
              <w:t>Sagatavot projektu pieteikumus.</w:t>
            </w:r>
          </w:p>
          <w:bookmarkEnd w:id="11"/>
          <w:p w14:paraId="562ED892" w14:textId="77DC3F79" w:rsidR="008E7353" w:rsidRPr="008E7353" w:rsidRDefault="008E7353" w:rsidP="008E73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30" w:type="dxa"/>
          </w:tcPr>
          <w:p w14:paraId="5E372A43" w14:textId="54E5CCFC" w:rsidR="008E7353" w:rsidRPr="008E7353" w:rsidRDefault="008E7353" w:rsidP="008E73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E7353">
              <w:rPr>
                <w:rFonts w:ascii="Times New Roman" w:hAnsi="Times New Roman" w:cs="Times New Roman"/>
                <w:b/>
                <w:sz w:val="24"/>
                <w:szCs w:val="24"/>
              </w:rPr>
              <w:t>ĀIAUD</w:t>
            </w:r>
          </w:p>
        </w:tc>
      </w:tr>
    </w:tbl>
    <w:p w14:paraId="0FB89C35" w14:textId="77777777" w:rsidR="00EC20BF" w:rsidRPr="00501B3D" w:rsidRDefault="00EC20BF" w:rsidP="00EC20BF">
      <w:pPr>
        <w:rPr>
          <w:rFonts w:ascii="Times New Roman" w:hAnsi="Times New Roman" w:cs="Times New Roman"/>
          <w:sz w:val="28"/>
        </w:rPr>
        <w:sectPr w:rsidR="00EC20BF" w:rsidRPr="00501B3D" w:rsidSect="00501B3D">
          <w:pgSz w:w="16838" w:h="11906" w:orient="landscape"/>
          <w:pgMar w:top="720" w:right="720" w:bottom="720" w:left="1287" w:header="709" w:footer="709" w:gutter="0"/>
          <w:cols w:space="708"/>
          <w:docGrid w:linePitch="360"/>
        </w:sectPr>
      </w:pPr>
    </w:p>
    <w:p w14:paraId="43539709" w14:textId="0AD9E686" w:rsidR="006E14A1" w:rsidRPr="00501B3D" w:rsidRDefault="006E14A1" w:rsidP="00917DFF">
      <w:pPr>
        <w:pStyle w:val="ListParagraph"/>
        <w:numPr>
          <w:ilvl w:val="0"/>
          <w:numId w:val="17"/>
        </w:numPr>
        <w:jc w:val="center"/>
        <w:outlineLvl w:val="0"/>
        <w:rPr>
          <w:rFonts w:ascii="Times New Roman" w:hAnsi="Times New Roman" w:cs="Times New Roman"/>
          <w:b/>
          <w:color w:val="1F3864" w:themeColor="accent5" w:themeShade="80"/>
          <w:sz w:val="32"/>
          <w:szCs w:val="32"/>
        </w:rPr>
      </w:pPr>
      <w:bookmarkStart w:id="12" w:name="_Toc118192608"/>
      <w:r w:rsidRPr="00501B3D">
        <w:rPr>
          <w:rFonts w:ascii="Times New Roman" w:hAnsi="Times New Roman" w:cs="Times New Roman"/>
          <w:b/>
          <w:color w:val="1F3864" w:themeColor="accent5" w:themeShade="80"/>
          <w:sz w:val="32"/>
          <w:szCs w:val="32"/>
        </w:rPr>
        <w:lastRenderedPageBreak/>
        <w:t>Iestādes resursu analīze</w:t>
      </w:r>
      <w:bookmarkEnd w:id="12"/>
    </w:p>
    <w:p w14:paraId="37344E34" w14:textId="554C0C91" w:rsidR="006E14A1" w:rsidRPr="00501B3D" w:rsidRDefault="00152CD9" w:rsidP="005F1E70">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Ministrija ir vadošā valsts pārvaldes iestāde iekšlietu nozarē. Ministrija izstrādā, organizē un koordinē politiku (1) sabiedriskās kārtības un drošības, (2) valsts robežas drošības, (3) noziedzības novērš</w:t>
      </w:r>
      <w:r w:rsidR="001C46DF" w:rsidRPr="00501B3D">
        <w:rPr>
          <w:rFonts w:ascii="Times New Roman" w:hAnsi="Times New Roman" w:cs="Times New Roman"/>
          <w:sz w:val="24"/>
          <w:szCs w:val="24"/>
        </w:rPr>
        <w:t>anas un apkarošanas, (4) civilās aizsardzības,</w:t>
      </w:r>
      <w:r w:rsidRPr="00501B3D">
        <w:rPr>
          <w:rFonts w:ascii="Times New Roman" w:hAnsi="Times New Roman" w:cs="Times New Roman"/>
          <w:sz w:val="24"/>
          <w:szCs w:val="24"/>
        </w:rPr>
        <w:t xml:space="preserve"> ugunsdrošības, ugunsdzēsības un glābšanas, kā arī (5) pilsonības, migrācijas, iedzīvotāju uzskaites un dokumentēšanas jomās. </w:t>
      </w:r>
    </w:p>
    <w:p w14:paraId="666F6988" w14:textId="25B55820" w:rsidR="00EB3031" w:rsidRPr="00501B3D" w:rsidRDefault="0072574A" w:rsidP="005F1E70">
      <w:pPr>
        <w:spacing w:after="0" w:line="360" w:lineRule="auto"/>
        <w:ind w:firstLine="720"/>
        <w:jc w:val="both"/>
        <w:rPr>
          <w:rFonts w:ascii="Times New Roman" w:hAnsi="Times New Roman" w:cs="Times New Roman"/>
          <w:sz w:val="24"/>
          <w:szCs w:val="24"/>
        </w:rPr>
      </w:pPr>
      <w:bookmarkStart w:id="13" w:name="_Hlk184373988"/>
      <w:r w:rsidRPr="00501B3D">
        <w:rPr>
          <w:rFonts w:ascii="Times New Roman" w:hAnsi="Times New Roman" w:cs="Times New Roman"/>
          <w:sz w:val="24"/>
          <w:szCs w:val="24"/>
        </w:rPr>
        <w:t xml:space="preserve">147 </w:t>
      </w:r>
      <w:r w:rsidR="005D7289" w:rsidRPr="00501B3D">
        <w:rPr>
          <w:rFonts w:ascii="Times New Roman" w:hAnsi="Times New Roman" w:cs="Times New Roman"/>
          <w:sz w:val="24"/>
          <w:szCs w:val="24"/>
        </w:rPr>
        <w:t xml:space="preserve">Ministrijā 2024.gadā </w:t>
      </w:r>
      <w:r w:rsidR="00C437EA" w:rsidRPr="00501B3D">
        <w:rPr>
          <w:rFonts w:ascii="Times New Roman" w:hAnsi="Times New Roman" w:cs="Times New Roman"/>
          <w:sz w:val="24"/>
          <w:szCs w:val="24"/>
        </w:rPr>
        <w:t>amata vietas</w:t>
      </w:r>
      <w:r w:rsidR="00152CD9" w:rsidRPr="00501B3D">
        <w:rPr>
          <w:rStyle w:val="FootnoteReference"/>
          <w:rFonts w:ascii="Times New Roman" w:hAnsi="Times New Roman" w:cs="Times New Roman"/>
          <w:sz w:val="24"/>
          <w:szCs w:val="24"/>
        </w:rPr>
        <w:footnoteReference w:id="16"/>
      </w:r>
      <w:r w:rsidR="00EB3031" w:rsidRPr="00501B3D">
        <w:rPr>
          <w:rFonts w:ascii="Times New Roman" w:hAnsi="Times New Roman" w:cs="Times New Roman"/>
          <w:sz w:val="24"/>
          <w:szCs w:val="24"/>
        </w:rPr>
        <w:t>, no kur</w:t>
      </w:r>
      <w:r w:rsidRPr="00501B3D">
        <w:rPr>
          <w:rFonts w:ascii="Times New Roman" w:hAnsi="Times New Roman" w:cs="Times New Roman"/>
          <w:sz w:val="24"/>
          <w:szCs w:val="24"/>
        </w:rPr>
        <w:t>ām</w:t>
      </w:r>
      <w:r w:rsidR="00EB3031" w:rsidRPr="00501B3D">
        <w:rPr>
          <w:rFonts w:ascii="Times New Roman" w:hAnsi="Times New Roman" w:cs="Times New Roman"/>
          <w:sz w:val="24"/>
          <w:szCs w:val="24"/>
        </w:rPr>
        <w:t xml:space="preserve">: </w:t>
      </w:r>
    </w:p>
    <w:p w14:paraId="042A9BAA" w14:textId="25A54531" w:rsidR="00EB3031" w:rsidRPr="00501B3D" w:rsidRDefault="0072574A" w:rsidP="005F1E70">
      <w:pPr>
        <w:pStyle w:val="ListParagraph"/>
        <w:numPr>
          <w:ilvl w:val="0"/>
          <w:numId w:val="11"/>
        </w:numPr>
        <w:spacing w:after="0" w:line="360" w:lineRule="auto"/>
        <w:jc w:val="both"/>
        <w:rPr>
          <w:rFonts w:ascii="Times New Roman" w:hAnsi="Times New Roman" w:cs="Times New Roman"/>
          <w:sz w:val="24"/>
          <w:szCs w:val="24"/>
        </w:rPr>
      </w:pPr>
      <w:r w:rsidRPr="00501B3D">
        <w:rPr>
          <w:rFonts w:ascii="Times New Roman" w:hAnsi="Times New Roman" w:cs="Times New Roman"/>
          <w:sz w:val="24"/>
          <w:szCs w:val="24"/>
        </w:rPr>
        <w:t xml:space="preserve">119 </w:t>
      </w:r>
      <w:r w:rsidR="00EB3031" w:rsidRPr="00501B3D">
        <w:rPr>
          <w:rFonts w:ascii="Times New Roman" w:hAnsi="Times New Roman" w:cs="Times New Roman"/>
          <w:sz w:val="24"/>
          <w:szCs w:val="24"/>
        </w:rPr>
        <w:t>valsts civildienesta ierēdņ</w:t>
      </w:r>
      <w:r w:rsidRPr="00501B3D">
        <w:rPr>
          <w:rFonts w:ascii="Times New Roman" w:hAnsi="Times New Roman" w:cs="Times New Roman"/>
          <w:sz w:val="24"/>
          <w:szCs w:val="24"/>
        </w:rPr>
        <w:t>u amati;</w:t>
      </w:r>
      <w:r w:rsidR="00EB3031" w:rsidRPr="00501B3D">
        <w:rPr>
          <w:rFonts w:ascii="Times New Roman" w:hAnsi="Times New Roman" w:cs="Times New Roman"/>
          <w:sz w:val="24"/>
          <w:szCs w:val="24"/>
        </w:rPr>
        <w:t xml:space="preserve"> </w:t>
      </w:r>
    </w:p>
    <w:p w14:paraId="7BD13F91" w14:textId="42C64E6B" w:rsidR="00EB3031" w:rsidRPr="00501B3D" w:rsidRDefault="0072574A" w:rsidP="005F1E70">
      <w:pPr>
        <w:pStyle w:val="ListParagraph"/>
        <w:numPr>
          <w:ilvl w:val="0"/>
          <w:numId w:val="11"/>
        </w:numPr>
        <w:spacing w:after="0" w:line="360" w:lineRule="auto"/>
        <w:jc w:val="both"/>
        <w:rPr>
          <w:rFonts w:ascii="Times New Roman" w:hAnsi="Times New Roman" w:cs="Times New Roman"/>
          <w:sz w:val="24"/>
          <w:szCs w:val="24"/>
        </w:rPr>
      </w:pPr>
      <w:r w:rsidRPr="00501B3D">
        <w:rPr>
          <w:rFonts w:ascii="Times New Roman" w:hAnsi="Times New Roman" w:cs="Times New Roman"/>
          <w:sz w:val="24"/>
          <w:szCs w:val="24"/>
        </w:rPr>
        <w:t>27</w:t>
      </w:r>
      <w:r w:rsidR="00026219" w:rsidRPr="00501B3D">
        <w:rPr>
          <w:rFonts w:ascii="Times New Roman" w:hAnsi="Times New Roman" w:cs="Times New Roman"/>
          <w:sz w:val="24"/>
          <w:szCs w:val="24"/>
        </w:rPr>
        <w:t xml:space="preserve"> bija</w:t>
      </w:r>
      <w:r w:rsidR="00EB3031" w:rsidRPr="00501B3D">
        <w:rPr>
          <w:rFonts w:ascii="Times New Roman" w:hAnsi="Times New Roman" w:cs="Times New Roman"/>
          <w:sz w:val="24"/>
          <w:szCs w:val="24"/>
        </w:rPr>
        <w:t xml:space="preserve"> </w:t>
      </w:r>
      <w:r w:rsidR="005D7289" w:rsidRPr="00501B3D">
        <w:rPr>
          <w:rFonts w:ascii="Times New Roman" w:hAnsi="Times New Roman" w:cs="Times New Roman"/>
          <w:sz w:val="24"/>
          <w:szCs w:val="24"/>
        </w:rPr>
        <w:t>darbinieku amati</w:t>
      </w:r>
      <w:r w:rsidR="00EB3031" w:rsidRPr="00501B3D">
        <w:rPr>
          <w:rFonts w:ascii="Times New Roman" w:hAnsi="Times New Roman" w:cs="Times New Roman"/>
          <w:sz w:val="24"/>
          <w:szCs w:val="24"/>
        </w:rPr>
        <w:t xml:space="preserve">; </w:t>
      </w:r>
    </w:p>
    <w:p w14:paraId="21C36D92" w14:textId="58E736FF" w:rsidR="00EB3031" w:rsidRPr="00501B3D" w:rsidRDefault="00026219" w:rsidP="005F1E70">
      <w:pPr>
        <w:pStyle w:val="ListParagraph"/>
        <w:numPr>
          <w:ilvl w:val="0"/>
          <w:numId w:val="11"/>
        </w:numPr>
        <w:spacing w:after="0" w:line="360" w:lineRule="auto"/>
        <w:jc w:val="both"/>
        <w:rPr>
          <w:rFonts w:ascii="Times New Roman" w:hAnsi="Times New Roman" w:cs="Times New Roman"/>
          <w:sz w:val="24"/>
          <w:szCs w:val="24"/>
        </w:rPr>
      </w:pPr>
      <w:r w:rsidRPr="00501B3D">
        <w:rPr>
          <w:rFonts w:ascii="Times New Roman" w:hAnsi="Times New Roman" w:cs="Times New Roman"/>
          <w:sz w:val="24"/>
          <w:szCs w:val="24"/>
        </w:rPr>
        <w:t xml:space="preserve">1 </w:t>
      </w:r>
      <w:r w:rsidR="0072574A" w:rsidRPr="00501B3D">
        <w:rPr>
          <w:rFonts w:ascii="Times New Roman" w:hAnsi="Times New Roman" w:cs="Times New Roman"/>
          <w:sz w:val="24"/>
          <w:szCs w:val="24"/>
        </w:rPr>
        <w:t>parlamentārā sekretāra ama</w:t>
      </w:r>
      <w:r w:rsidR="005D7289" w:rsidRPr="00501B3D">
        <w:rPr>
          <w:rFonts w:ascii="Times New Roman" w:hAnsi="Times New Roman" w:cs="Times New Roman"/>
          <w:sz w:val="24"/>
          <w:szCs w:val="24"/>
        </w:rPr>
        <w:t>t</w:t>
      </w:r>
      <w:r w:rsidR="0072574A" w:rsidRPr="00501B3D">
        <w:rPr>
          <w:rFonts w:ascii="Times New Roman" w:hAnsi="Times New Roman" w:cs="Times New Roman"/>
          <w:sz w:val="24"/>
          <w:szCs w:val="24"/>
        </w:rPr>
        <w:t>s.</w:t>
      </w:r>
    </w:p>
    <w:bookmarkEnd w:id="13"/>
    <w:p w14:paraId="47145D77" w14:textId="734908F3" w:rsidR="00152CD9" w:rsidRPr="00501B3D" w:rsidRDefault="007A755D" w:rsidP="005F1E70">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 xml:space="preserve">Ministrijas personāla politikas pamatā ir šādas vērtības: stabilitāte, profesionalitāte, kvalitāte un attīstība. </w:t>
      </w:r>
      <w:r w:rsidR="00EB3031" w:rsidRPr="00501B3D">
        <w:rPr>
          <w:rFonts w:ascii="Times New Roman" w:hAnsi="Times New Roman" w:cs="Times New Roman"/>
          <w:sz w:val="24"/>
          <w:szCs w:val="24"/>
        </w:rPr>
        <w:t xml:space="preserve">2021. gadā 60,7% Ministrijas nodarbināto izmantoja iespēju paaugstināt profesionālo kvalifikāciju. </w:t>
      </w:r>
    </w:p>
    <w:p w14:paraId="21254229" w14:textId="1B5A95FE" w:rsidR="00B86C8F" w:rsidRPr="00501B3D" w:rsidRDefault="00EB3031" w:rsidP="00501B3D">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Vidēj</w:t>
      </w:r>
      <w:r w:rsidR="00C437EA" w:rsidRPr="00501B3D">
        <w:rPr>
          <w:rFonts w:ascii="Times New Roman" w:hAnsi="Times New Roman" w:cs="Times New Roman"/>
          <w:sz w:val="24"/>
          <w:szCs w:val="24"/>
        </w:rPr>
        <w:t>ā</w:t>
      </w:r>
      <w:r w:rsidRPr="00501B3D">
        <w:rPr>
          <w:rFonts w:ascii="Times New Roman" w:hAnsi="Times New Roman" w:cs="Times New Roman"/>
          <w:sz w:val="24"/>
          <w:szCs w:val="24"/>
        </w:rPr>
        <w:t xml:space="preserve"> </w:t>
      </w:r>
      <w:r w:rsidR="00C437EA" w:rsidRPr="00501B3D">
        <w:rPr>
          <w:rFonts w:ascii="Times New Roman" w:hAnsi="Times New Roman" w:cs="Times New Roman"/>
          <w:sz w:val="24"/>
          <w:szCs w:val="24"/>
        </w:rPr>
        <w:t xml:space="preserve">atlīdzība </w:t>
      </w:r>
      <w:r w:rsidRPr="00501B3D">
        <w:rPr>
          <w:rFonts w:ascii="Times New Roman" w:hAnsi="Times New Roman" w:cs="Times New Roman"/>
          <w:sz w:val="24"/>
          <w:szCs w:val="24"/>
        </w:rPr>
        <w:t xml:space="preserve">(pirms nodokļu nomaksas) Ministrijā </w:t>
      </w:r>
      <w:r w:rsidR="00C437EA" w:rsidRPr="00501B3D">
        <w:rPr>
          <w:rFonts w:ascii="Times New Roman" w:hAnsi="Times New Roman" w:cs="Times New Roman"/>
          <w:sz w:val="24"/>
          <w:szCs w:val="24"/>
        </w:rPr>
        <w:t xml:space="preserve">nodarbinātajiem </w:t>
      </w:r>
      <w:r w:rsidRPr="00501B3D">
        <w:rPr>
          <w:rFonts w:ascii="Times New Roman" w:hAnsi="Times New Roman" w:cs="Times New Roman"/>
          <w:sz w:val="24"/>
          <w:szCs w:val="24"/>
        </w:rPr>
        <w:t>valsts civildienesta ierēdņiem 202</w:t>
      </w:r>
      <w:r w:rsidR="003D3EFE" w:rsidRPr="00501B3D">
        <w:rPr>
          <w:rFonts w:ascii="Times New Roman" w:hAnsi="Times New Roman" w:cs="Times New Roman"/>
          <w:sz w:val="24"/>
          <w:szCs w:val="24"/>
        </w:rPr>
        <w:t>3</w:t>
      </w:r>
      <w:r w:rsidRPr="00501B3D">
        <w:rPr>
          <w:rFonts w:ascii="Times New Roman" w:hAnsi="Times New Roman" w:cs="Times New Roman"/>
          <w:sz w:val="24"/>
          <w:szCs w:val="24"/>
        </w:rPr>
        <w:t>. gadā bija</w:t>
      </w:r>
      <w:r w:rsidR="00564C2A" w:rsidRPr="00501B3D">
        <w:rPr>
          <w:rFonts w:ascii="Times New Roman" w:hAnsi="Times New Roman" w:cs="Times New Roman"/>
          <w:sz w:val="24"/>
          <w:szCs w:val="24"/>
        </w:rPr>
        <w:t xml:space="preserve"> </w:t>
      </w:r>
      <w:r w:rsidR="007C2E59" w:rsidRPr="00501B3D">
        <w:rPr>
          <w:rFonts w:ascii="Times New Roman" w:hAnsi="Times New Roman" w:cs="Times New Roman"/>
          <w:sz w:val="24"/>
          <w:szCs w:val="24"/>
        </w:rPr>
        <w:t>307</w:t>
      </w:r>
      <w:r w:rsidR="004F7900" w:rsidRPr="00501B3D">
        <w:rPr>
          <w:rFonts w:ascii="Times New Roman" w:hAnsi="Times New Roman" w:cs="Times New Roman"/>
          <w:sz w:val="24"/>
          <w:szCs w:val="24"/>
        </w:rPr>
        <w:t>4</w:t>
      </w:r>
      <w:r w:rsidR="00C437EA" w:rsidRPr="00501B3D">
        <w:rPr>
          <w:rFonts w:ascii="Times New Roman" w:hAnsi="Times New Roman" w:cs="Times New Roman"/>
          <w:sz w:val="24"/>
          <w:szCs w:val="24"/>
        </w:rPr>
        <w:t xml:space="preserve"> </w:t>
      </w:r>
      <w:proofErr w:type="spellStart"/>
      <w:r w:rsidR="00564C2A" w:rsidRPr="00501B3D">
        <w:rPr>
          <w:rFonts w:ascii="Times New Roman" w:hAnsi="Times New Roman" w:cs="Times New Roman"/>
          <w:i/>
          <w:sz w:val="24"/>
          <w:szCs w:val="24"/>
        </w:rPr>
        <w:t>euro</w:t>
      </w:r>
      <w:proofErr w:type="spellEnd"/>
      <w:r w:rsidR="00564C2A" w:rsidRPr="00501B3D">
        <w:rPr>
          <w:rFonts w:ascii="Times New Roman" w:hAnsi="Times New Roman" w:cs="Times New Roman"/>
          <w:sz w:val="24"/>
          <w:szCs w:val="24"/>
        </w:rPr>
        <w:t xml:space="preserve"> </w:t>
      </w:r>
      <w:r w:rsidR="00994EB8" w:rsidRPr="00501B3D">
        <w:rPr>
          <w:rFonts w:ascii="Times New Roman" w:hAnsi="Times New Roman" w:cs="Times New Roman"/>
          <w:sz w:val="24"/>
          <w:szCs w:val="24"/>
        </w:rPr>
        <w:t>(tai skait</w:t>
      </w:r>
      <w:r w:rsidR="00570C92" w:rsidRPr="00501B3D">
        <w:rPr>
          <w:rFonts w:ascii="Times New Roman" w:hAnsi="Times New Roman" w:cs="Times New Roman"/>
          <w:sz w:val="24"/>
          <w:szCs w:val="24"/>
        </w:rPr>
        <w:t xml:space="preserve">ā atalgojums: </w:t>
      </w:r>
      <w:r w:rsidR="007C2E59" w:rsidRPr="00501B3D">
        <w:rPr>
          <w:rFonts w:ascii="Times New Roman" w:hAnsi="Times New Roman" w:cs="Times New Roman"/>
          <w:sz w:val="24"/>
          <w:szCs w:val="24"/>
        </w:rPr>
        <w:t>287</w:t>
      </w:r>
      <w:r w:rsidR="004F7900" w:rsidRPr="00501B3D">
        <w:rPr>
          <w:rFonts w:ascii="Times New Roman" w:hAnsi="Times New Roman" w:cs="Times New Roman"/>
          <w:sz w:val="24"/>
          <w:szCs w:val="24"/>
        </w:rPr>
        <w:t>8</w:t>
      </w:r>
      <w:r w:rsidR="00994EB8" w:rsidRPr="00501B3D">
        <w:rPr>
          <w:rFonts w:ascii="Times New Roman" w:hAnsi="Times New Roman" w:cs="Times New Roman"/>
          <w:sz w:val="24"/>
          <w:szCs w:val="24"/>
        </w:rPr>
        <w:t xml:space="preserve"> </w:t>
      </w:r>
      <w:proofErr w:type="spellStart"/>
      <w:r w:rsidR="00994EB8" w:rsidRPr="00501B3D">
        <w:rPr>
          <w:rFonts w:ascii="Times New Roman" w:hAnsi="Times New Roman" w:cs="Times New Roman"/>
          <w:i/>
          <w:sz w:val="24"/>
          <w:szCs w:val="24"/>
        </w:rPr>
        <w:t>euro</w:t>
      </w:r>
      <w:proofErr w:type="spellEnd"/>
      <w:r w:rsidR="00994EB8" w:rsidRPr="00501B3D">
        <w:rPr>
          <w:rFonts w:ascii="Times New Roman" w:hAnsi="Times New Roman" w:cs="Times New Roman"/>
          <w:sz w:val="24"/>
          <w:szCs w:val="24"/>
        </w:rPr>
        <w:t>)</w:t>
      </w:r>
      <w:r w:rsidR="00907E39" w:rsidRPr="00501B3D">
        <w:rPr>
          <w:rFonts w:ascii="Times New Roman" w:hAnsi="Times New Roman" w:cs="Times New Roman"/>
          <w:sz w:val="24"/>
          <w:szCs w:val="24"/>
        </w:rPr>
        <w:t>,</w:t>
      </w:r>
      <w:r w:rsidR="00564C2A" w:rsidRPr="00501B3D">
        <w:rPr>
          <w:rFonts w:ascii="Times New Roman" w:hAnsi="Times New Roman" w:cs="Times New Roman"/>
          <w:sz w:val="24"/>
          <w:szCs w:val="24"/>
        </w:rPr>
        <w:t xml:space="preserve"> darbiniekiem, ar kuriem noslēgts darba līgums</w:t>
      </w:r>
      <w:r w:rsidR="00570C92" w:rsidRPr="00501B3D">
        <w:rPr>
          <w:rFonts w:ascii="Times New Roman" w:hAnsi="Times New Roman" w:cs="Times New Roman"/>
          <w:sz w:val="24"/>
          <w:szCs w:val="24"/>
        </w:rPr>
        <w:t xml:space="preserve">: </w:t>
      </w:r>
      <w:r w:rsidR="007C2E59" w:rsidRPr="00501B3D">
        <w:rPr>
          <w:rFonts w:ascii="Times New Roman" w:hAnsi="Times New Roman" w:cs="Times New Roman"/>
          <w:sz w:val="24"/>
          <w:szCs w:val="24"/>
        </w:rPr>
        <w:t>2310</w:t>
      </w:r>
      <w:r w:rsidR="00C437EA" w:rsidRPr="00501B3D">
        <w:rPr>
          <w:rFonts w:ascii="Times New Roman" w:hAnsi="Times New Roman" w:cs="Times New Roman"/>
          <w:i/>
          <w:sz w:val="24"/>
          <w:szCs w:val="24"/>
        </w:rPr>
        <w:t>euro</w:t>
      </w:r>
      <w:r w:rsidR="00994EB8" w:rsidRPr="00501B3D">
        <w:rPr>
          <w:rFonts w:ascii="Times New Roman" w:hAnsi="Times New Roman" w:cs="Times New Roman"/>
          <w:i/>
          <w:sz w:val="24"/>
          <w:szCs w:val="24"/>
        </w:rPr>
        <w:t xml:space="preserve"> </w:t>
      </w:r>
      <w:r w:rsidR="00570C92" w:rsidRPr="00501B3D">
        <w:rPr>
          <w:rFonts w:ascii="Times New Roman" w:hAnsi="Times New Roman" w:cs="Times New Roman"/>
          <w:sz w:val="24"/>
          <w:szCs w:val="24"/>
        </w:rPr>
        <w:t xml:space="preserve">(tai skaitā atalgojums: </w:t>
      </w:r>
      <w:r w:rsidR="007C2E59" w:rsidRPr="00501B3D">
        <w:rPr>
          <w:rFonts w:ascii="Times New Roman" w:hAnsi="Times New Roman" w:cs="Times New Roman"/>
          <w:sz w:val="24"/>
          <w:szCs w:val="24"/>
        </w:rPr>
        <w:t>2165</w:t>
      </w:r>
      <w:r w:rsidR="00994EB8" w:rsidRPr="00501B3D">
        <w:rPr>
          <w:rFonts w:ascii="Times New Roman" w:hAnsi="Times New Roman" w:cs="Times New Roman"/>
          <w:i/>
          <w:sz w:val="24"/>
          <w:szCs w:val="24"/>
        </w:rPr>
        <w:t>euro</w:t>
      </w:r>
      <w:r w:rsidR="00994EB8" w:rsidRPr="00501B3D">
        <w:rPr>
          <w:rFonts w:ascii="Times New Roman" w:hAnsi="Times New Roman" w:cs="Times New Roman"/>
          <w:sz w:val="24"/>
          <w:szCs w:val="24"/>
        </w:rPr>
        <w:t>)</w:t>
      </w:r>
      <w:r w:rsidR="00994EB8" w:rsidRPr="00501B3D">
        <w:rPr>
          <w:rFonts w:ascii="Times New Roman" w:hAnsi="Times New Roman" w:cs="Times New Roman"/>
          <w:i/>
          <w:sz w:val="24"/>
          <w:szCs w:val="24"/>
        </w:rPr>
        <w:t xml:space="preserve"> </w:t>
      </w:r>
      <w:r w:rsidR="00564C2A" w:rsidRPr="00501B3D">
        <w:rPr>
          <w:rFonts w:ascii="Times New Roman" w:hAnsi="Times New Roman" w:cs="Times New Roman"/>
          <w:sz w:val="24"/>
          <w:szCs w:val="24"/>
        </w:rPr>
        <w:t xml:space="preserve"> un amatpersonām ar speciālajām dienesta pakāpēm, kuras ieņem valsts civildienesta ierēdņu amatus</w:t>
      </w:r>
      <w:r w:rsidR="00570C92" w:rsidRPr="00501B3D">
        <w:rPr>
          <w:rFonts w:ascii="Times New Roman" w:hAnsi="Times New Roman" w:cs="Times New Roman"/>
          <w:sz w:val="24"/>
          <w:szCs w:val="24"/>
        </w:rPr>
        <w:t xml:space="preserve">: </w:t>
      </w:r>
      <w:r w:rsidR="007C2E59" w:rsidRPr="00501B3D">
        <w:rPr>
          <w:rFonts w:ascii="Times New Roman" w:hAnsi="Times New Roman" w:cs="Times New Roman"/>
          <w:sz w:val="24"/>
          <w:szCs w:val="24"/>
        </w:rPr>
        <w:t>2970</w:t>
      </w:r>
      <w:r w:rsidR="00994EB8" w:rsidRPr="00501B3D">
        <w:rPr>
          <w:rFonts w:ascii="Times New Roman" w:hAnsi="Times New Roman" w:cs="Times New Roman"/>
          <w:sz w:val="24"/>
          <w:szCs w:val="24"/>
        </w:rPr>
        <w:t xml:space="preserve"> </w:t>
      </w:r>
      <w:proofErr w:type="spellStart"/>
      <w:r w:rsidR="00994EB8" w:rsidRPr="00501B3D">
        <w:rPr>
          <w:rFonts w:ascii="Times New Roman" w:hAnsi="Times New Roman" w:cs="Times New Roman"/>
          <w:i/>
          <w:sz w:val="24"/>
          <w:szCs w:val="24"/>
        </w:rPr>
        <w:t>euro</w:t>
      </w:r>
      <w:proofErr w:type="spellEnd"/>
      <w:r w:rsidR="00994EB8" w:rsidRPr="00501B3D">
        <w:rPr>
          <w:rFonts w:ascii="Times New Roman" w:hAnsi="Times New Roman" w:cs="Times New Roman"/>
          <w:i/>
          <w:sz w:val="24"/>
          <w:szCs w:val="24"/>
        </w:rPr>
        <w:t xml:space="preserve"> </w:t>
      </w:r>
      <w:r w:rsidR="00570C92" w:rsidRPr="00501B3D">
        <w:rPr>
          <w:rFonts w:ascii="Times New Roman" w:hAnsi="Times New Roman" w:cs="Times New Roman"/>
          <w:sz w:val="24"/>
          <w:szCs w:val="24"/>
        </w:rPr>
        <w:t xml:space="preserve">(tai skaitā atalgojums: </w:t>
      </w:r>
      <w:r w:rsidR="007C2E59" w:rsidRPr="00501B3D">
        <w:rPr>
          <w:rFonts w:ascii="Times New Roman" w:hAnsi="Times New Roman" w:cs="Times New Roman"/>
          <w:sz w:val="24"/>
          <w:szCs w:val="24"/>
        </w:rPr>
        <w:t>2876</w:t>
      </w:r>
      <w:r w:rsidR="00994EB8" w:rsidRPr="00501B3D">
        <w:rPr>
          <w:rFonts w:ascii="Times New Roman" w:hAnsi="Times New Roman" w:cs="Times New Roman"/>
          <w:sz w:val="24"/>
          <w:szCs w:val="24"/>
        </w:rPr>
        <w:t xml:space="preserve"> </w:t>
      </w:r>
      <w:proofErr w:type="spellStart"/>
      <w:r w:rsidR="00994EB8" w:rsidRPr="00501B3D">
        <w:rPr>
          <w:rFonts w:ascii="Times New Roman" w:hAnsi="Times New Roman" w:cs="Times New Roman"/>
          <w:i/>
          <w:sz w:val="24"/>
          <w:szCs w:val="24"/>
        </w:rPr>
        <w:t>euro</w:t>
      </w:r>
      <w:proofErr w:type="spellEnd"/>
      <w:r w:rsidR="00994EB8" w:rsidRPr="00501B3D">
        <w:rPr>
          <w:rFonts w:ascii="Times New Roman" w:hAnsi="Times New Roman" w:cs="Times New Roman"/>
          <w:sz w:val="24"/>
          <w:szCs w:val="24"/>
        </w:rPr>
        <w:t>)</w:t>
      </w:r>
      <w:r w:rsidR="00994EB8" w:rsidRPr="00501B3D">
        <w:rPr>
          <w:rStyle w:val="FootnoteReference"/>
          <w:rFonts w:ascii="Times New Roman" w:hAnsi="Times New Roman" w:cs="Times New Roman"/>
          <w:i/>
          <w:sz w:val="24"/>
          <w:szCs w:val="24"/>
        </w:rPr>
        <w:footnoteReference w:id="17"/>
      </w:r>
      <w:r w:rsidR="00564C2A" w:rsidRPr="00501B3D">
        <w:rPr>
          <w:rFonts w:ascii="Times New Roman" w:hAnsi="Times New Roman" w:cs="Times New Roman"/>
          <w:i/>
          <w:sz w:val="24"/>
          <w:szCs w:val="24"/>
        </w:rPr>
        <w:t>.</w:t>
      </w:r>
      <w:r w:rsidR="00C40933" w:rsidRPr="00501B3D">
        <w:rPr>
          <w:rFonts w:ascii="Times New Roman" w:hAnsi="Times New Roman" w:cs="Times New Roman"/>
          <w:sz w:val="24"/>
          <w:szCs w:val="24"/>
        </w:rPr>
        <w:t xml:space="preserve"> Tomēr, lai gan vidējais atalgojums Ministrijā</w:t>
      </w:r>
      <w:r w:rsidR="00994EB8" w:rsidRPr="00501B3D">
        <w:rPr>
          <w:rFonts w:ascii="Times New Roman" w:hAnsi="Times New Roman" w:cs="Times New Roman"/>
          <w:sz w:val="24"/>
          <w:szCs w:val="24"/>
        </w:rPr>
        <w:t xml:space="preserve"> nodarbinātaj</w:t>
      </w:r>
      <w:r w:rsidR="000607AF" w:rsidRPr="00501B3D">
        <w:rPr>
          <w:rFonts w:ascii="Times New Roman" w:hAnsi="Times New Roman" w:cs="Times New Roman"/>
          <w:sz w:val="24"/>
          <w:szCs w:val="24"/>
        </w:rPr>
        <w:t>i</w:t>
      </w:r>
      <w:r w:rsidR="00994EB8" w:rsidRPr="00501B3D">
        <w:rPr>
          <w:rFonts w:ascii="Times New Roman" w:hAnsi="Times New Roman" w:cs="Times New Roman"/>
          <w:sz w:val="24"/>
          <w:szCs w:val="24"/>
        </w:rPr>
        <w:t>em</w:t>
      </w:r>
      <w:r w:rsidR="00C40933" w:rsidRPr="00501B3D">
        <w:rPr>
          <w:rFonts w:ascii="Times New Roman" w:hAnsi="Times New Roman" w:cs="Times New Roman"/>
          <w:sz w:val="24"/>
          <w:szCs w:val="24"/>
        </w:rPr>
        <w:t xml:space="preserve"> ir būtiski augstāks par vidējo atalgojumu valstī</w:t>
      </w:r>
      <w:r w:rsidR="00280087" w:rsidRPr="00501B3D">
        <w:rPr>
          <w:rStyle w:val="FootnoteReference"/>
          <w:rFonts w:ascii="Times New Roman" w:hAnsi="Times New Roman" w:cs="Times New Roman"/>
          <w:sz w:val="24"/>
          <w:szCs w:val="24"/>
        </w:rPr>
        <w:footnoteReference w:id="18"/>
      </w:r>
      <w:r w:rsidR="00C40933" w:rsidRPr="00501B3D">
        <w:rPr>
          <w:rFonts w:ascii="Times New Roman" w:hAnsi="Times New Roman" w:cs="Times New Roman"/>
          <w:sz w:val="24"/>
          <w:szCs w:val="24"/>
        </w:rPr>
        <w:t>, salīdzinot atalgojumu ar līdzvērtīgiem amatiem privātajā sektorā</w:t>
      </w:r>
      <w:r w:rsidR="00280087" w:rsidRPr="00501B3D">
        <w:rPr>
          <w:rStyle w:val="FootnoteReference"/>
          <w:rFonts w:ascii="Times New Roman" w:hAnsi="Times New Roman" w:cs="Times New Roman"/>
          <w:sz w:val="24"/>
          <w:szCs w:val="24"/>
        </w:rPr>
        <w:footnoteReference w:id="19"/>
      </w:r>
      <w:r w:rsidR="00C40933" w:rsidRPr="00501B3D">
        <w:rPr>
          <w:rFonts w:ascii="Times New Roman" w:hAnsi="Times New Roman" w:cs="Times New Roman"/>
          <w:sz w:val="24"/>
          <w:szCs w:val="24"/>
        </w:rPr>
        <w:t xml:space="preserve">, novērojama </w:t>
      </w:r>
      <w:r w:rsidR="00280087" w:rsidRPr="00501B3D">
        <w:rPr>
          <w:rFonts w:ascii="Times New Roman" w:hAnsi="Times New Roman" w:cs="Times New Roman"/>
          <w:sz w:val="24"/>
          <w:szCs w:val="24"/>
        </w:rPr>
        <w:t>būtiska atšķirība, it īpaši visaugstāk kvalificētajiem profesionāļiem un vadībai.</w:t>
      </w:r>
      <w:r w:rsidR="00D76478" w:rsidRPr="00501B3D">
        <w:rPr>
          <w:rFonts w:ascii="Times New Roman" w:hAnsi="Times New Roman" w:cs="Times New Roman"/>
          <w:sz w:val="24"/>
          <w:szCs w:val="24"/>
        </w:rPr>
        <w:t xml:space="preserve"> </w:t>
      </w:r>
      <w:r w:rsidR="00280087" w:rsidRPr="00501B3D">
        <w:rPr>
          <w:rFonts w:ascii="Times New Roman" w:hAnsi="Times New Roman" w:cs="Times New Roman"/>
          <w:sz w:val="24"/>
          <w:szCs w:val="24"/>
        </w:rPr>
        <w:t>To atspoguļo arī samērā augstā neapmierinātība starp Ministrijas nodarbinātajiem ar savu atalgojumu (56,8%)</w:t>
      </w:r>
      <w:r w:rsidR="00280087" w:rsidRPr="00501B3D">
        <w:rPr>
          <w:rStyle w:val="FootnoteReference"/>
          <w:rFonts w:ascii="Times New Roman" w:hAnsi="Times New Roman" w:cs="Times New Roman"/>
          <w:sz w:val="24"/>
          <w:szCs w:val="24"/>
        </w:rPr>
        <w:footnoteReference w:id="20"/>
      </w:r>
      <w:r w:rsidR="00280087" w:rsidRPr="00501B3D">
        <w:rPr>
          <w:rFonts w:ascii="Times New Roman" w:hAnsi="Times New Roman" w:cs="Times New Roman"/>
          <w:sz w:val="24"/>
          <w:szCs w:val="24"/>
        </w:rPr>
        <w:t>.</w:t>
      </w:r>
      <w:r w:rsidR="00C40493" w:rsidRPr="00501B3D">
        <w:rPr>
          <w:rFonts w:ascii="Times New Roman" w:hAnsi="Times New Roman" w:cs="Times New Roman"/>
          <w:sz w:val="24"/>
          <w:szCs w:val="24"/>
        </w:rPr>
        <w:t xml:space="preserve"> Sākot ar 2025. gadu </w:t>
      </w:r>
      <w:r w:rsidR="008B620B" w:rsidRPr="00501B3D">
        <w:rPr>
          <w:rFonts w:ascii="Times New Roman" w:hAnsi="Times New Roman" w:cs="Times New Roman"/>
          <w:sz w:val="24"/>
          <w:szCs w:val="24"/>
        </w:rPr>
        <w:t xml:space="preserve">lai nodrošinātu iekšlietu nozares vadības procesu organizēšanā un koordinēšanā, kā arī iekšlietu politikas plānošanā, izstrādē un īstenošanas kontrolē iesaistīto nodarbināto motivēšanu ir piešķirts papildu finansējums atlīdzībai 674 083 </w:t>
      </w:r>
      <w:proofErr w:type="spellStart"/>
      <w:r w:rsidR="008B620B" w:rsidRPr="00501B3D">
        <w:rPr>
          <w:rFonts w:ascii="Times New Roman" w:hAnsi="Times New Roman" w:cs="Times New Roman"/>
          <w:i/>
          <w:sz w:val="24"/>
          <w:szCs w:val="24"/>
        </w:rPr>
        <w:t>euro</w:t>
      </w:r>
      <w:proofErr w:type="spellEnd"/>
      <w:r w:rsidR="008B620B" w:rsidRPr="00501B3D">
        <w:rPr>
          <w:rFonts w:ascii="Times New Roman" w:hAnsi="Times New Roman" w:cs="Times New Roman"/>
          <w:sz w:val="24"/>
          <w:szCs w:val="24"/>
        </w:rPr>
        <w:t xml:space="preserve"> apmērā.</w:t>
      </w:r>
    </w:p>
    <w:p w14:paraId="3D2FD35E" w14:textId="43BF4C61" w:rsidR="000607AF" w:rsidRPr="00501B3D" w:rsidRDefault="008E3038" w:rsidP="005F1E70">
      <w:pPr>
        <w:pStyle w:val="Heading2"/>
        <w:rPr>
          <w:rFonts w:ascii="Times New Roman" w:hAnsi="Times New Roman" w:cs="Times New Roman"/>
          <w:b/>
          <w:color w:val="1F3864" w:themeColor="accent5" w:themeShade="80"/>
          <w:sz w:val="28"/>
          <w:szCs w:val="28"/>
        </w:rPr>
      </w:pPr>
      <w:bookmarkStart w:id="17" w:name="_Toc118192609"/>
      <w:r w:rsidRPr="00501B3D">
        <w:rPr>
          <w:rFonts w:ascii="Times New Roman" w:hAnsi="Times New Roman" w:cs="Times New Roman"/>
          <w:b/>
          <w:color w:val="1F3864" w:themeColor="accent5" w:themeShade="80"/>
          <w:sz w:val="28"/>
          <w:szCs w:val="28"/>
        </w:rPr>
        <w:lastRenderedPageBreak/>
        <w:t>4.1.</w:t>
      </w:r>
      <w:r w:rsidR="000607AF" w:rsidRPr="00501B3D">
        <w:rPr>
          <w:rFonts w:ascii="Times New Roman" w:hAnsi="Times New Roman" w:cs="Times New Roman"/>
          <w:b/>
          <w:color w:val="1F3864" w:themeColor="accent5" w:themeShade="80"/>
          <w:sz w:val="28"/>
          <w:szCs w:val="28"/>
        </w:rPr>
        <w:t xml:space="preserve"> Būtiskākās strukturālās reformas, optimizācijas vai reorganizācijas pasākumi</w:t>
      </w:r>
      <w:bookmarkEnd w:id="17"/>
    </w:p>
    <w:p w14:paraId="6ECC9EC7" w14:textId="77777777" w:rsidR="000607AF" w:rsidRPr="00501B3D" w:rsidRDefault="000607AF" w:rsidP="000607AF">
      <w:pPr>
        <w:pStyle w:val="naisf"/>
        <w:spacing w:before="0" w:after="0"/>
        <w:ind w:left="360" w:firstLine="0"/>
      </w:pPr>
    </w:p>
    <w:p w14:paraId="08B0E8C9" w14:textId="0D85118E" w:rsidR="00B501C6" w:rsidRPr="00501B3D" w:rsidRDefault="000607AF" w:rsidP="00B501C6">
      <w:pPr>
        <w:spacing w:after="0" w:line="360" w:lineRule="auto"/>
        <w:ind w:firstLine="720"/>
        <w:jc w:val="both"/>
        <w:rPr>
          <w:rFonts w:ascii="Times New Roman" w:hAnsi="Times New Roman" w:cs="Times New Roman"/>
          <w:i/>
          <w:sz w:val="24"/>
          <w:szCs w:val="24"/>
        </w:rPr>
      </w:pPr>
      <w:r w:rsidRPr="00501B3D">
        <w:rPr>
          <w:rFonts w:ascii="Times New Roman" w:hAnsi="Times New Roman" w:cs="Times New Roman"/>
          <w:sz w:val="24"/>
          <w:szCs w:val="24"/>
        </w:rPr>
        <w:t xml:space="preserve">Ministrija kopā ar padotības iestādēm iesaistīta Eiropas Komisijas Strukturālo reformu atbalsta programmas projekta </w:t>
      </w:r>
      <w:r w:rsidRPr="00501B3D">
        <w:rPr>
          <w:rFonts w:ascii="Times New Roman" w:hAnsi="Times New Roman" w:cs="Times New Roman"/>
          <w:i/>
          <w:sz w:val="24"/>
          <w:szCs w:val="24"/>
        </w:rPr>
        <w:t>“Iekšlietu nozares iestāžu efektivitātes paaugstināšana”</w:t>
      </w:r>
      <w:r w:rsidRPr="00501B3D">
        <w:rPr>
          <w:rFonts w:ascii="Times New Roman" w:hAnsi="Times New Roman" w:cs="Times New Roman"/>
          <w:sz w:val="24"/>
          <w:szCs w:val="24"/>
          <w:vertAlign w:val="superscript"/>
        </w:rPr>
        <w:footnoteReference w:id="21"/>
      </w:r>
      <w:r w:rsidRPr="00501B3D">
        <w:rPr>
          <w:rFonts w:ascii="Times New Roman" w:hAnsi="Times New Roman" w:cs="Times New Roman"/>
          <w:sz w:val="24"/>
          <w:szCs w:val="24"/>
          <w:vertAlign w:val="superscript"/>
        </w:rPr>
        <w:t xml:space="preserve"> </w:t>
      </w:r>
      <w:r w:rsidRPr="00501B3D">
        <w:rPr>
          <w:rFonts w:ascii="Times New Roman" w:hAnsi="Times New Roman" w:cs="Times New Roman"/>
          <w:sz w:val="24"/>
          <w:szCs w:val="24"/>
        </w:rPr>
        <w:t xml:space="preserve">(SRAP) trīs posmu īstenošanā, kuru ietvaros tiek strādāts pie </w:t>
      </w:r>
      <w:r w:rsidRPr="00501B3D">
        <w:rPr>
          <w:rFonts w:ascii="Times New Roman" w:hAnsi="Times New Roman" w:cs="Times New Roman"/>
          <w:i/>
          <w:sz w:val="24"/>
          <w:szCs w:val="24"/>
        </w:rPr>
        <w:t xml:space="preserve">ilgtspējīgas un konkurētspējīgas valsts pārvaldes modeļa ieviešanas iekšlietu nozarē, kā arī iekšējo procesu un iestāžu sniegtos pakalpojumu </w:t>
      </w:r>
      <w:proofErr w:type="spellStart"/>
      <w:r w:rsidRPr="00501B3D">
        <w:rPr>
          <w:rFonts w:ascii="Times New Roman" w:hAnsi="Times New Roman" w:cs="Times New Roman"/>
          <w:i/>
          <w:sz w:val="24"/>
          <w:szCs w:val="24"/>
        </w:rPr>
        <w:t>efektivizēšanas</w:t>
      </w:r>
      <w:proofErr w:type="spellEnd"/>
      <w:r w:rsidRPr="00501B3D">
        <w:rPr>
          <w:rFonts w:ascii="Times New Roman" w:hAnsi="Times New Roman" w:cs="Times New Roman"/>
          <w:i/>
          <w:sz w:val="24"/>
          <w:szCs w:val="24"/>
        </w:rPr>
        <w:t xml:space="preserve"> un digitalizācijas.</w:t>
      </w:r>
    </w:p>
    <w:p w14:paraId="45B8C784" w14:textId="77777777" w:rsidR="004E44EF" w:rsidRPr="00501B3D" w:rsidRDefault="000607AF" w:rsidP="004E44EF">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Lai nodrošinātu laicīgu un izteiktajām rekomendācijām atbilstošu strukturālo reformu īstenošanu ministrijas padotībā esošajās iestādēs, apstiprināts SRAP 1 rekomendāciju ieviešanas plāns</w:t>
      </w:r>
      <w:r w:rsidRPr="00501B3D">
        <w:rPr>
          <w:rStyle w:val="FootnoteReference"/>
          <w:rFonts w:ascii="Times New Roman" w:hAnsi="Times New Roman" w:cs="Times New Roman"/>
          <w:sz w:val="24"/>
          <w:szCs w:val="24"/>
        </w:rPr>
        <w:footnoteReference w:id="22"/>
      </w:r>
      <w:r w:rsidRPr="00501B3D">
        <w:rPr>
          <w:rFonts w:ascii="Times New Roman" w:hAnsi="Times New Roman" w:cs="Times New Roman"/>
          <w:sz w:val="24"/>
          <w:szCs w:val="24"/>
        </w:rPr>
        <w:t xml:space="preserve">. </w:t>
      </w:r>
      <w:r w:rsidR="004E44EF" w:rsidRPr="00501B3D">
        <w:rPr>
          <w:rFonts w:ascii="Times New Roman" w:hAnsi="Times New Roman" w:cs="Times New Roman"/>
          <w:sz w:val="24"/>
          <w:szCs w:val="24"/>
        </w:rPr>
        <w:t xml:space="preserve">SRAP 1 ietvaros tika analizēta Valsts policijas (turpmāk - VP), Valsts ugunsdzēsības un glābšanas dienesta (turpmāk - VUGD), un Pilsonības un migrācijas lietu pārvaldes struktūras, darba organizācijas, resursu pārvaldības un sniegto pakalpojumu efektivitāte un kvalitāte. </w:t>
      </w:r>
    </w:p>
    <w:p w14:paraId="0123A581" w14:textId="77777777" w:rsidR="004E44EF" w:rsidRPr="00501B3D" w:rsidRDefault="004E44EF" w:rsidP="004E44EF">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Valsts policijas reformu laikā īpaša uzmanība tika vērsta uz procesu vienkāršošanu, funkcionalitāti, vairāku prasmju izstrādes uzlabošanu.</w:t>
      </w:r>
    </w:p>
    <w:p w14:paraId="420C036A" w14:textId="061C277D" w:rsidR="004E44EF" w:rsidRPr="00501B3D" w:rsidRDefault="004E44EF" w:rsidP="004E44EF">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Nokartēts VUGD depo izvietojums un izbraukuma rajoni. Līdz 2027. gadam plānots izveidot katastrofu izraisīto zaudējumu datu bāzi.</w:t>
      </w:r>
    </w:p>
    <w:p w14:paraId="539EF5A0" w14:textId="4F90F717" w:rsidR="000607AF" w:rsidRPr="00501B3D" w:rsidRDefault="004E44EF" w:rsidP="004E44EF">
      <w:pPr>
        <w:spacing w:after="0" w:line="360" w:lineRule="auto"/>
        <w:ind w:firstLine="720"/>
        <w:jc w:val="both"/>
        <w:rPr>
          <w:rFonts w:ascii="Times New Roman" w:hAnsi="Times New Roman" w:cs="Times New Roman"/>
          <w:sz w:val="24"/>
          <w:szCs w:val="24"/>
        </w:rPr>
      </w:pPr>
      <w:r w:rsidRPr="00501B3D">
        <w:rPr>
          <w:rFonts w:ascii="Times New Roman" w:hAnsi="Times New Roman" w:cs="Times New Roman"/>
          <w:sz w:val="24"/>
          <w:szCs w:val="24"/>
        </w:rPr>
        <w:t>PMLP vienkāršots un digitalizēts lēmumu pieņemšanas process saistībā ar pastāvīgās uzturēšanās atļauju reģistrēšanu, uzturēšanās tiesību piešķiršanu, uzturēšanās tiesību apliecinošo dokumentu atjaunošanu un uzturēšanās tiesību apliecinošo dokumentu izsniegšanu ceļošanas dokumenta maiņas gadījumā.</w:t>
      </w:r>
    </w:p>
    <w:p w14:paraId="398D4BF1" w14:textId="6CC09C8E" w:rsidR="004E44EF" w:rsidRPr="00501B3D" w:rsidRDefault="000607AF" w:rsidP="004E44EF">
      <w:pPr>
        <w:spacing w:after="0" w:line="360" w:lineRule="auto"/>
        <w:ind w:firstLine="567"/>
        <w:jc w:val="both"/>
        <w:rPr>
          <w:rFonts w:ascii="Times New Roman" w:hAnsi="Times New Roman" w:cs="Times New Roman"/>
          <w:sz w:val="24"/>
          <w:szCs w:val="24"/>
        </w:rPr>
      </w:pPr>
      <w:r w:rsidRPr="00501B3D">
        <w:rPr>
          <w:rFonts w:ascii="Times New Roman" w:hAnsi="Times New Roman" w:cs="Times New Roman"/>
          <w:sz w:val="24"/>
          <w:szCs w:val="24"/>
        </w:rPr>
        <w:t>2021. gada pavasarī noslēdzās  SRAP 2 projekts, un apstiprināti</w:t>
      </w:r>
      <w:r w:rsidRPr="00501B3D">
        <w:rPr>
          <w:rStyle w:val="FootnoteReference"/>
          <w:rFonts w:ascii="Times New Roman" w:hAnsi="Times New Roman" w:cs="Times New Roman"/>
          <w:sz w:val="24"/>
          <w:szCs w:val="24"/>
        </w:rPr>
        <w:footnoteReference w:id="23"/>
      </w:r>
      <w:r w:rsidRPr="00501B3D">
        <w:rPr>
          <w:rFonts w:ascii="Times New Roman" w:hAnsi="Times New Roman" w:cs="Times New Roman"/>
          <w:sz w:val="24"/>
          <w:szCs w:val="24"/>
        </w:rPr>
        <w:t xml:space="preserve"> trīs rīcības plāni SRAP 2 apakšprojektu</w:t>
      </w:r>
      <w:r w:rsidRPr="00501B3D">
        <w:rPr>
          <w:rFonts w:ascii="Times New Roman" w:hAnsi="Times New Roman" w:cs="Times New Roman"/>
          <w:sz w:val="24"/>
          <w:szCs w:val="24"/>
          <w:vertAlign w:val="superscript"/>
        </w:rPr>
        <w:footnoteReference w:id="24"/>
      </w:r>
      <w:r w:rsidRPr="00501B3D">
        <w:rPr>
          <w:rFonts w:ascii="Times New Roman" w:hAnsi="Times New Roman" w:cs="Times New Roman"/>
          <w:sz w:val="24"/>
          <w:szCs w:val="24"/>
        </w:rPr>
        <w:t xml:space="preserve"> ietvaros izte</w:t>
      </w:r>
      <w:r w:rsidR="00FE44C4" w:rsidRPr="00501B3D">
        <w:rPr>
          <w:rFonts w:ascii="Times New Roman" w:hAnsi="Times New Roman" w:cs="Times New Roman"/>
          <w:sz w:val="24"/>
          <w:szCs w:val="24"/>
        </w:rPr>
        <w:t xml:space="preserve">ikto rekomendāciju ieviešanai. </w:t>
      </w:r>
      <w:r w:rsidR="004E44EF" w:rsidRPr="00501B3D">
        <w:rPr>
          <w:rFonts w:ascii="Times New Roman" w:hAnsi="Times New Roman" w:cs="Times New Roman"/>
          <w:sz w:val="24"/>
          <w:szCs w:val="24"/>
        </w:rPr>
        <w:t xml:space="preserve">SRAP 2 apakšprojektu ietvaros plānots - pilnveidot pirmstiesas izmeklēšanas procesu (t.sk. darbības procesu pārskatīšana, E-lietas ieviešana), ieroču aprites jomas procesu pārskatīšana, procesu vienkāršošana, digitalizēšana, ieroču reģistra izstrāde, </w:t>
      </w:r>
      <w:r w:rsidR="004E44EF" w:rsidRPr="00501B3D">
        <w:rPr>
          <w:rFonts w:ascii="Times New Roman" w:hAnsi="Times New Roman" w:cs="Times New Roman"/>
          <w:sz w:val="24"/>
          <w:szCs w:val="24"/>
        </w:rPr>
        <w:lastRenderedPageBreak/>
        <w:t xml:space="preserve">ugunsdrošības uzraudzības procesa pārskatīšana, pašdeklarēšanās principa viešana, procesu vienkāršošana un digitalizācija. </w:t>
      </w:r>
    </w:p>
    <w:p w14:paraId="3C435D06" w14:textId="069D429F" w:rsidR="000607AF" w:rsidRPr="00501B3D" w:rsidRDefault="004E44EF" w:rsidP="004E44EF">
      <w:pPr>
        <w:spacing w:after="0" w:line="360" w:lineRule="auto"/>
        <w:ind w:firstLine="567"/>
        <w:jc w:val="both"/>
        <w:rPr>
          <w:rFonts w:ascii="Times New Roman" w:hAnsi="Times New Roman" w:cs="Times New Roman"/>
          <w:sz w:val="24"/>
          <w:szCs w:val="24"/>
        </w:rPr>
      </w:pPr>
      <w:r w:rsidRPr="00501B3D">
        <w:rPr>
          <w:rFonts w:ascii="Times New Roman" w:hAnsi="Times New Roman" w:cs="Times New Roman"/>
          <w:sz w:val="24"/>
          <w:szCs w:val="24"/>
        </w:rPr>
        <w:t>Plānotās reformas būs iespējams ieviest līdz 2027. gadam, ja tām tiks rasts finansējums.</w:t>
      </w:r>
    </w:p>
    <w:p w14:paraId="61E37F7B" w14:textId="35A37AB0" w:rsidR="004E44EF" w:rsidRPr="00501B3D" w:rsidRDefault="004E44EF" w:rsidP="004E44EF">
      <w:pPr>
        <w:spacing w:after="0" w:line="360" w:lineRule="auto"/>
        <w:ind w:firstLine="567"/>
        <w:jc w:val="both"/>
        <w:rPr>
          <w:rFonts w:ascii="Times New Roman" w:hAnsi="Times New Roman" w:cs="Times New Roman"/>
          <w:sz w:val="24"/>
          <w:szCs w:val="24"/>
        </w:rPr>
      </w:pPr>
      <w:r w:rsidRPr="00501B3D">
        <w:rPr>
          <w:rFonts w:ascii="Times New Roman" w:hAnsi="Times New Roman" w:cs="Times New Roman"/>
          <w:sz w:val="24"/>
          <w:szCs w:val="24"/>
        </w:rPr>
        <w:t>SRAP 3 ietvaros tika izstrādāts jauns stratēģiskās plānošanas modelis iekšlietu nozarē, kas ir salāgots ar spēkā esošo normatīvo regulējumu, paredz uzlabojumus plānošanas procesā, maksimāli veicinot reālistisku, bet vienlaikus uz attīstību vērstu stratēģisko plānošanu.</w:t>
      </w:r>
    </w:p>
    <w:p w14:paraId="3EB8F440" w14:textId="5BD8B1E1" w:rsidR="00ED627D" w:rsidRPr="00501B3D" w:rsidRDefault="00736998" w:rsidP="005F1E70">
      <w:pPr>
        <w:spacing w:after="0" w:line="360" w:lineRule="auto"/>
        <w:ind w:firstLine="567"/>
        <w:jc w:val="both"/>
        <w:rPr>
          <w:rFonts w:ascii="Times New Roman" w:hAnsi="Times New Roman" w:cs="Times New Roman"/>
          <w:sz w:val="24"/>
          <w:szCs w:val="24"/>
        </w:rPr>
      </w:pPr>
      <w:r w:rsidRPr="00501B3D">
        <w:rPr>
          <w:rFonts w:ascii="Times New Roman" w:hAnsi="Times New Roman" w:cs="Times New Roman"/>
          <w:sz w:val="24"/>
          <w:szCs w:val="24"/>
        </w:rPr>
        <w:t>Apstiprināts</w:t>
      </w:r>
      <w:r w:rsidRPr="00501B3D">
        <w:rPr>
          <w:rFonts w:ascii="Times New Roman" w:hAnsi="Times New Roman" w:cs="Times New Roman"/>
          <w:i/>
          <w:sz w:val="24"/>
          <w:szCs w:val="24"/>
        </w:rPr>
        <w:t xml:space="preserve"> </w:t>
      </w:r>
      <w:r w:rsidR="000607AF" w:rsidRPr="00501B3D">
        <w:rPr>
          <w:rFonts w:ascii="Times New Roman" w:hAnsi="Times New Roman" w:cs="Times New Roman"/>
          <w:i/>
          <w:sz w:val="24"/>
          <w:szCs w:val="24"/>
        </w:rPr>
        <w:t>jauns Iekšlietu ministrijas reglaments</w:t>
      </w:r>
      <w:r w:rsidR="000607AF" w:rsidRPr="00501B3D">
        <w:rPr>
          <w:rFonts w:ascii="Times New Roman" w:hAnsi="Times New Roman" w:cs="Times New Roman"/>
          <w:sz w:val="24"/>
          <w:szCs w:val="24"/>
        </w:rPr>
        <w:t>, pilnveidojot  ministrijai noteikto funkciju saturu.</w:t>
      </w:r>
      <w:r w:rsidR="000B2295" w:rsidRPr="00501B3D">
        <w:rPr>
          <w:rFonts w:ascii="Times New Roman" w:hAnsi="Times New Roman" w:cs="Times New Roman"/>
          <w:sz w:val="24"/>
          <w:szCs w:val="24"/>
        </w:rPr>
        <w:t xml:space="preserve"> </w:t>
      </w:r>
      <w:r w:rsidR="000607AF" w:rsidRPr="00501B3D">
        <w:rPr>
          <w:rFonts w:ascii="Times New Roman" w:hAnsi="Times New Roman" w:cs="Times New Roman"/>
          <w:b/>
          <w:i/>
          <w:sz w:val="24"/>
          <w:szCs w:val="24"/>
        </w:rPr>
        <w:t>Ministrijas personāla vadības politikas pamatvērtības: stabilitāte, profesionalitāte, kvalitāte, attīstība</w:t>
      </w:r>
      <w:r w:rsidR="000607AF" w:rsidRPr="00501B3D">
        <w:rPr>
          <w:rFonts w:ascii="Times New Roman" w:hAnsi="Times New Roman" w:cs="Times New Roman"/>
          <w:i/>
          <w:sz w:val="24"/>
          <w:szCs w:val="24"/>
        </w:rPr>
        <w:t xml:space="preserve">.  </w:t>
      </w:r>
    </w:p>
    <w:p w14:paraId="1CAB48D4" w14:textId="39B19626" w:rsidR="000607AF" w:rsidRPr="00501B3D" w:rsidRDefault="000607AF" w:rsidP="005F1E70">
      <w:pPr>
        <w:spacing w:after="0" w:line="360" w:lineRule="auto"/>
        <w:ind w:firstLine="720"/>
        <w:jc w:val="both"/>
        <w:rPr>
          <w:rFonts w:ascii="Times New Roman" w:hAnsi="Times New Roman" w:cs="Times New Roman"/>
          <w:b/>
          <w:sz w:val="24"/>
          <w:szCs w:val="24"/>
        </w:rPr>
      </w:pPr>
      <w:r w:rsidRPr="00501B3D">
        <w:rPr>
          <w:rFonts w:ascii="Times New Roman" w:hAnsi="Times New Roman" w:cs="Times New Roman"/>
          <w:sz w:val="24"/>
          <w:szCs w:val="24"/>
        </w:rPr>
        <w:t xml:space="preserve">Ministrijas nodarbinātie aktīvi izmanto iespēju </w:t>
      </w:r>
      <w:r w:rsidRPr="00501B3D">
        <w:rPr>
          <w:rFonts w:ascii="Times New Roman" w:hAnsi="Times New Roman" w:cs="Times New Roman"/>
          <w:b/>
          <w:i/>
          <w:sz w:val="24"/>
          <w:szCs w:val="24"/>
        </w:rPr>
        <w:t xml:space="preserve">paaugstināt kvalifikāciju </w:t>
      </w:r>
      <w:r w:rsidRPr="00501B3D">
        <w:rPr>
          <w:rFonts w:ascii="Times New Roman" w:hAnsi="Times New Roman" w:cs="Times New Roman"/>
          <w:sz w:val="24"/>
          <w:szCs w:val="24"/>
        </w:rPr>
        <w:t xml:space="preserve">Valsts administrācijas skolas mācībās, kā arī citu </w:t>
      </w:r>
      <w:r w:rsidR="00EA5A38" w:rsidRPr="00501B3D">
        <w:rPr>
          <w:rFonts w:ascii="Times New Roman" w:hAnsi="Times New Roman" w:cs="Times New Roman"/>
          <w:sz w:val="24"/>
          <w:szCs w:val="24"/>
        </w:rPr>
        <w:t xml:space="preserve">pakalpojuma sniedzēju </w:t>
      </w:r>
      <w:r w:rsidRPr="00501B3D">
        <w:rPr>
          <w:rFonts w:ascii="Times New Roman" w:hAnsi="Times New Roman" w:cs="Times New Roman"/>
          <w:sz w:val="24"/>
          <w:szCs w:val="24"/>
        </w:rPr>
        <w:t>organizētus kvalifikācijas paaugstināš</w:t>
      </w:r>
      <w:r w:rsidR="00FE44C4" w:rsidRPr="00501B3D">
        <w:rPr>
          <w:rFonts w:ascii="Times New Roman" w:hAnsi="Times New Roman" w:cs="Times New Roman"/>
          <w:sz w:val="24"/>
          <w:szCs w:val="24"/>
        </w:rPr>
        <w:t xml:space="preserve">anas kursus </w:t>
      </w:r>
      <w:r w:rsidR="00EA5A38" w:rsidRPr="00501B3D">
        <w:rPr>
          <w:rFonts w:ascii="Times New Roman" w:hAnsi="Times New Roman" w:cs="Times New Roman"/>
          <w:sz w:val="24"/>
          <w:szCs w:val="24"/>
        </w:rPr>
        <w:t xml:space="preserve">amatam atbilstošās </w:t>
      </w:r>
      <w:r w:rsidR="00FE44C4" w:rsidRPr="00501B3D">
        <w:rPr>
          <w:rFonts w:ascii="Times New Roman" w:hAnsi="Times New Roman" w:cs="Times New Roman"/>
          <w:sz w:val="24"/>
          <w:szCs w:val="24"/>
        </w:rPr>
        <w:t xml:space="preserve">jomās. </w:t>
      </w:r>
      <w:bookmarkStart w:id="18" w:name="_Hlk184373673"/>
      <w:bookmarkStart w:id="19" w:name="_Hlk184374062"/>
      <w:r w:rsidRPr="00501B3D">
        <w:rPr>
          <w:rFonts w:ascii="Times New Roman" w:hAnsi="Times New Roman" w:cs="Times New Roman"/>
          <w:b/>
          <w:sz w:val="24"/>
          <w:szCs w:val="24"/>
        </w:rPr>
        <w:t>Personāla mainīb</w:t>
      </w:r>
      <w:r w:rsidR="00FE44C4" w:rsidRPr="00501B3D">
        <w:rPr>
          <w:rFonts w:ascii="Times New Roman" w:hAnsi="Times New Roman" w:cs="Times New Roman"/>
          <w:b/>
          <w:sz w:val="24"/>
          <w:szCs w:val="24"/>
        </w:rPr>
        <w:t xml:space="preserve">a pārskata gadā sastādīja </w:t>
      </w:r>
      <w:r w:rsidR="00D80E1C" w:rsidRPr="00501B3D">
        <w:rPr>
          <w:rFonts w:ascii="Times New Roman" w:hAnsi="Times New Roman" w:cs="Times New Roman"/>
          <w:b/>
          <w:sz w:val="24"/>
          <w:szCs w:val="24"/>
        </w:rPr>
        <w:t>8,16</w:t>
      </w:r>
      <w:r w:rsidR="00FE44C4" w:rsidRPr="00501B3D">
        <w:rPr>
          <w:rFonts w:ascii="Times New Roman" w:hAnsi="Times New Roman" w:cs="Times New Roman"/>
          <w:b/>
          <w:sz w:val="24"/>
          <w:szCs w:val="24"/>
        </w:rPr>
        <w:t xml:space="preserve">%: </w:t>
      </w:r>
      <w:r w:rsidRPr="00501B3D">
        <w:rPr>
          <w:rFonts w:ascii="Times New Roman" w:hAnsi="Times New Roman" w:cs="Times New Roman"/>
          <w:b/>
          <w:sz w:val="24"/>
          <w:szCs w:val="24"/>
        </w:rPr>
        <w:t>74,07%</w:t>
      </w:r>
      <w:r w:rsidRPr="00501B3D">
        <w:rPr>
          <w:rFonts w:ascii="Times New Roman" w:hAnsi="Times New Roman" w:cs="Times New Roman"/>
          <w:sz w:val="24"/>
          <w:szCs w:val="24"/>
        </w:rPr>
        <w:t xml:space="preserve"> </w:t>
      </w:r>
      <w:bookmarkEnd w:id="18"/>
      <w:r w:rsidRPr="00501B3D">
        <w:rPr>
          <w:rFonts w:ascii="Times New Roman" w:hAnsi="Times New Roman" w:cs="Times New Roman"/>
          <w:sz w:val="24"/>
          <w:szCs w:val="24"/>
        </w:rPr>
        <w:t xml:space="preserve">no nodarbināto skaita bija sievietes (93,00% - ar augstāko izglītību), </w:t>
      </w:r>
      <w:r w:rsidRPr="00501B3D">
        <w:rPr>
          <w:rFonts w:ascii="Times New Roman" w:hAnsi="Times New Roman" w:cs="Times New Roman"/>
          <w:b/>
          <w:sz w:val="24"/>
          <w:szCs w:val="24"/>
        </w:rPr>
        <w:t>25,93</w:t>
      </w:r>
      <w:r w:rsidRPr="00501B3D">
        <w:rPr>
          <w:rFonts w:ascii="Times New Roman" w:hAnsi="Times New Roman" w:cs="Times New Roman"/>
          <w:sz w:val="24"/>
          <w:szCs w:val="24"/>
        </w:rPr>
        <w:t>% - vīrieši (91,41% ar augstāko izglītību).</w:t>
      </w:r>
      <w:bookmarkEnd w:id="19"/>
    </w:p>
    <w:p w14:paraId="649B96B8" w14:textId="034CAB22" w:rsidR="00FE44C4" w:rsidRPr="00501B3D" w:rsidRDefault="000607AF" w:rsidP="005F1E70">
      <w:pPr>
        <w:spacing w:after="0" w:line="360" w:lineRule="auto"/>
        <w:ind w:firstLine="567"/>
        <w:jc w:val="both"/>
        <w:rPr>
          <w:rFonts w:ascii="Times New Roman" w:hAnsi="Times New Roman" w:cs="Times New Roman"/>
          <w:b/>
          <w:i/>
          <w:sz w:val="24"/>
          <w:szCs w:val="24"/>
        </w:rPr>
      </w:pPr>
      <w:r w:rsidRPr="00501B3D">
        <w:rPr>
          <w:rFonts w:ascii="Times New Roman" w:hAnsi="Times New Roman" w:cs="Times New Roman"/>
          <w:b/>
          <w:i/>
          <w:sz w:val="24"/>
          <w:szCs w:val="24"/>
        </w:rPr>
        <w:t xml:space="preserve">Vidējā atlīdzība/atalgojums/mēnešalga (pirms nodokļu nomaksas) </w:t>
      </w:r>
      <w:r w:rsidR="0014440C" w:rsidRPr="00501B3D">
        <w:rPr>
          <w:rFonts w:ascii="Times New Roman" w:hAnsi="Times New Roman" w:cs="Times New Roman"/>
          <w:b/>
          <w:i/>
          <w:sz w:val="24"/>
          <w:szCs w:val="24"/>
        </w:rPr>
        <w:t>2023</w:t>
      </w:r>
      <w:r w:rsidRPr="00501B3D">
        <w:rPr>
          <w:rFonts w:ascii="Times New Roman" w:hAnsi="Times New Roman" w:cs="Times New Roman"/>
          <w:b/>
          <w:i/>
          <w:sz w:val="24"/>
          <w:szCs w:val="24"/>
        </w:rPr>
        <w:t>.gadā</w:t>
      </w:r>
      <w:r w:rsidR="00596F43" w:rsidRPr="00501B3D">
        <w:rPr>
          <w:rFonts w:ascii="Times New Roman" w:hAnsi="Times New Roman" w:cs="Times New Roman"/>
          <w:i/>
          <w:sz w:val="24"/>
          <w:szCs w:val="24"/>
        </w:rPr>
        <w:t xml:space="preserve"> </w:t>
      </w:r>
      <w:r w:rsidRPr="00501B3D">
        <w:rPr>
          <w:rFonts w:ascii="Times New Roman" w:hAnsi="Times New Roman" w:cs="Times New Roman"/>
          <w:b/>
          <w:i/>
          <w:sz w:val="24"/>
          <w:szCs w:val="24"/>
        </w:rPr>
        <w:t xml:space="preserve">bija </w:t>
      </w:r>
      <w:r w:rsidRPr="00501B3D">
        <w:rPr>
          <w:rFonts w:ascii="Times New Roman" w:hAnsi="Times New Roman" w:cs="Times New Roman"/>
          <w:sz w:val="24"/>
          <w:szCs w:val="24"/>
        </w:rPr>
        <w:t>(izmaiņas, salīdzinot ar 2020.gadu):</w:t>
      </w:r>
    </w:p>
    <w:p w14:paraId="3B2A4725" w14:textId="1458AAEF" w:rsidR="00FE44C4" w:rsidRPr="00501B3D" w:rsidRDefault="000607AF" w:rsidP="005F1E70">
      <w:pPr>
        <w:pStyle w:val="ListParagraph"/>
        <w:numPr>
          <w:ilvl w:val="0"/>
          <w:numId w:val="20"/>
        </w:numPr>
        <w:spacing w:after="0" w:line="360" w:lineRule="auto"/>
        <w:jc w:val="both"/>
        <w:rPr>
          <w:rFonts w:ascii="Times New Roman" w:hAnsi="Times New Roman" w:cs="Times New Roman"/>
          <w:b/>
          <w:i/>
          <w:sz w:val="24"/>
          <w:szCs w:val="24"/>
        </w:rPr>
      </w:pPr>
      <w:r w:rsidRPr="00501B3D">
        <w:rPr>
          <w:rFonts w:ascii="Times New Roman" w:hAnsi="Times New Roman" w:cs="Times New Roman"/>
          <w:sz w:val="24"/>
          <w:szCs w:val="24"/>
        </w:rPr>
        <w:t>valsts civildienesta ierēdņiem –</w:t>
      </w:r>
      <w:r w:rsidR="0014440C" w:rsidRPr="00501B3D">
        <w:rPr>
          <w:rFonts w:ascii="Times New Roman" w:hAnsi="Times New Roman" w:cs="Times New Roman"/>
        </w:rPr>
        <w:t xml:space="preserve"> </w:t>
      </w:r>
      <w:r w:rsidR="0014440C" w:rsidRPr="00501B3D">
        <w:rPr>
          <w:rFonts w:ascii="Times New Roman" w:hAnsi="Times New Roman" w:cs="Times New Roman"/>
          <w:sz w:val="24"/>
          <w:szCs w:val="24"/>
        </w:rPr>
        <w:t>307</w:t>
      </w:r>
      <w:r w:rsidR="009139CF" w:rsidRPr="00501B3D">
        <w:rPr>
          <w:rFonts w:ascii="Times New Roman" w:hAnsi="Times New Roman" w:cs="Times New Roman"/>
          <w:sz w:val="24"/>
          <w:szCs w:val="24"/>
        </w:rPr>
        <w:t>4</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14440C" w:rsidRPr="00501B3D">
        <w:rPr>
          <w:rFonts w:ascii="Times New Roman" w:hAnsi="Times New Roman" w:cs="Times New Roman"/>
          <w:sz w:val="24"/>
          <w:szCs w:val="24"/>
        </w:rPr>
        <w:t>79</w:t>
      </w:r>
      <w:r w:rsidR="009139CF" w:rsidRPr="00501B3D">
        <w:rPr>
          <w:rFonts w:ascii="Times New Roman" w:hAnsi="Times New Roman" w:cs="Times New Roman"/>
          <w:sz w:val="24"/>
          <w:szCs w:val="24"/>
        </w:rPr>
        <w:t>1</w:t>
      </w:r>
      <w:r w:rsidR="0014440C"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r w:rsidR="0014440C" w:rsidRPr="00501B3D">
        <w:rPr>
          <w:rFonts w:ascii="Times New Roman" w:hAnsi="Times New Roman" w:cs="Times New Roman"/>
        </w:rPr>
        <w:t xml:space="preserve"> </w:t>
      </w:r>
      <w:r w:rsidR="0014440C" w:rsidRPr="00501B3D">
        <w:rPr>
          <w:rFonts w:ascii="Times New Roman" w:hAnsi="Times New Roman" w:cs="Times New Roman"/>
          <w:sz w:val="24"/>
          <w:szCs w:val="24"/>
        </w:rPr>
        <w:t>287</w:t>
      </w:r>
      <w:r w:rsidR="009139CF" w:rsidRPr="00501B3D">
        <w:rPr>
          <w:rFonts w:ascii="Times New Roman" w:hAnsi="Times New Roman" w:cs="Times New Roman"/>
          <w:sz w:val="24"/>
          <w:szCs w:val="24"/>
        </w:rPr>
        <w:t>8</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75</w:t>
      </w:r>
      <w:r w:rsidR="009139CF" w:rsidRPr="00501B3D">
        <w:rPr>
          <w:rFonts w:ascii="Times New Roman" w:hAnsi="Times New Roman" w:cs="Times New Roman"/>
          <w:sz w:val="24"/>
          <w:szCs w:val="24"/>
        </w:rPr>
        <w:t>4</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r w:rsidR="0014440C" w:rsidRPr="00501B3D">
        <w:rPr>
          <w:rFonts w:ascii="Times New Roman" w:hAnsi="Times New Roman" w:cs="Times New Roman"/>
        </w:rPr>
        <w:t xml:space="preserve"> </w:t>
      </w:r>
      <w:r w:rsidR="0014440C" w:rsidRPr="00501B3D">
        <w:rPr>
          <w:rFonts w:ascii="Times New Roman" w:hAnsi="Times New Roman" w:cs="Times New Roman"/>
          <w:sz w:val="24"/>
          <w:szCs w:val="24"/>
        </w:rPr>
        <w:t>2292</w:t>
      </w:r>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786</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r w:rsidR="00FE44C4" w:rsidRPr="00501B3D">
        <w:rPr>
          <w:rFonts w:ascii="Times New Roman" w:hAnsi="Times New Roman" w:cs="Times New Roman"/>
          <w:sz w:val="24"/>
          <w:szCs w:val="24"/>
        </w:rPr>
        <w:t>;</w:t>
      </w:r>
    </w:p>
    <w:p w14:paraId="3F8D16CA" w14:textId="29460C0B" w:rsidR="00FE44C4" w:rsidRPr="00501B3D" w:rsidRDefault="000607AF" w:rsidP="005F1E70">
      <w:pPr>
        <w:pStyle w:val="ListParagraph"/>
        <w:numPr>
          <w:ilvl w:val="0"/>
          <w:numId w:val="20"/>
        </w:numPr>
        <w:spacing w:after="0" w:line="360" w:lineRule="auto"/>
        <w:jc w:val="both"/>
        <w:rPr>
          <w:rFonts w:ascii="Times New Roman" w:hAnsi="Times New Roman" w:cs="Times New Roman"/>
          <w:b/>
          <w:i/>
          <w:sz w:val="24"/>
          <w:szCs w:val="24"/>
        </w:rPr>
      </w:pPr>
      <w:r w:rsidRPr="00501B3D">
        <w:rPr>
          <w:rFonts w:ascii="Times New Roman" w:hAnsi="Times New Roman" w:cs="Times New Roman"/>
          <w:sz w:val="24"/>
          <w:szCs w:val="24"/>
        </w:rPr>
        <w:t xml:space="preserve">darbiniekiem – </w:t>
      </w:r>
      <w:r w:rsidR="0014440C" w:rsidRPr="00501B3D">
        <w:rPr>
          <w:rFonts w:ascii="Times New Roman" w:hAnsi="Times New Roman" w:cs="Times New Roman"/>
          <w:sz w:val="24"/>
          <w:szCs w:val="24"/>
        </w:rPr>
        <w:t>2310</w:t>
      </w:r>
      <w:r w:rsidRPr="00501B3D">
        <w:rPr>
          <w:rFonts w:ascii="Times New Roman" w:hAnsi="Times New Roman" w:cs="Times New Roman"/>
          <w:i/>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542</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 </w:t>
      </w:r>
      <w:r w:rsidR="0014440C" w:rsidRPr="00501B3D">
        <w:rPr>
          <w:rFonts w:ascii="Times New Roman" w:hAnsi="Times New Roman" w:cs="Times New Roman"/>
          <w:sz w:val="24"/>
          <w:szCs w:val="24"/>
        </w:rPr>
        <w:t>2165</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 </w:t>
      </w:r>
      <w:r w:rsidR="00AF40FB" w:rsidRPr="00501B3D">
        <w:rPr>
          <w:rFonts w:ascii="Times New Roman" w:hAnsi="Times New Roman" w:cs="Times New Roman"/>
          <w:sz w:val="24"/>
          <w:szCs w:val="24"/>
        </w:rPr>
        <w:t>498</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14440C" w:rsidRPr="00501B3D">
        <w:rPr>
          <w:rFonts w:ascii="Times New Roman" w:hAnsi="Times New Roman" w:cs="Times New Roman"/>
          <w:sz w:val="24"/>
          <w:szCs w:val="24"/>
        </w:rPr>
        <w:t>1775</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509</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r w:rsidR="00FE44C4" w:rsidRPr="00501B3D">
        <w:rPr>
          <w:rFonts w:ascii="Times New Roman" w:hAnsi="Times New Roman" w:cs="Times New Roman"/>
          <w:sz w:val="24"/>
          <w:szCs w:val="24"/>
        </w:rPr>
        <w:t>;</w:t>
      </w:r>
    </w:p>
    <w:p w14:paraId="1AF4FD4E" w14:textId="78416AE7" w:rsidR="00FE44C4" w:rsidRPr="00501B3D" w:rsidRDefault="000607AF" w:rsidP="005F1E70">
      <w:pPr>
        <w:pStyle w:val="ListParagraph"/>
        <w:numPr>
          <w:ilvl w:val="0"/>
          <w:numId w:val="20"/>
        </w:numPr>
        <w:spacing w:after="0" w:line="360" w:lineRule="auto"/>
        <w:jc w:val="both"/>
        <w:rPr>
          <w:rFonts w:ascii="Times New Roman" w:hAnsi="Times New Roman" w:cs="Times New Roman"/>
          <w:b/>
          <w:i/>
          <w:sz w:val="24"/>
          <w:szCs w:val="24"/>
        </w:rPr>
      </w:pPr>
      <w:r w:rsidRPr="00501B3D">
        <w:rPr>
          <w:rFonts w:ascii="Times New Roman" w:hAnsi="Times New Roman" w:cs="Times New Roman"/>
          <w:sz w:val="24"/>
          <w:szCs w:val="24"/>
        </w:rPr>
        <w:t xml:space="preserve">amatpersonām ar speciālajām dienesta pakāpēm, kas ieņem valsts civildienesta ierēdņu amatus – </w:t>
      </w:r>
      <w:r w:rsidR="0014440C" w:rsidRPr="00501B3D">
        <w:rPr>
          <w:rFonts w:ascii="Times New Roman" w:hAnsi="Times New Roman" w:cs="Times New Roman"/>
          <w:sz w:val="24"/>
          <w:szCs w:val="24"/>
        </w:rPr>
        <w:t>2970</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i/>
          <w:sz w:val="24"/>
          <w:szCs w:val="24"/>
        </w:rPr>
        <w:t xml:space="preserve"> </w:t>
      </w:r>
      <w:r w:rsidRPr="00501B3D">
        <w:rPr>
          <w:rFonts w:ascii="Times New Roman" w:hAnsi="Times New Roman" w:cs="Times New Roman"/>
          <w:sz w:val="24"/>
          <w:szCs w:val="24"/>
        </w:rPr>
        <w:t>(+</w:t>
      </w:r>
      <w:r w:rsidR="00AF40FB" w:rsidRPr="00501B3D">
        <w:rPr>
          <w:rFonts w:ascii="Times New Roman" w:hAnsi="Times New Roman" w:cs="Times New Roman"/>
          <w:sz w:val="24"/>
          <w:szCs w:val="24"/>
        </w:rPr>
        <w:t>722</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w:t>
      </w:r>
      <w:r w:rsidR="0014440C" w:rsidRPr="00501B3D">
        <w:rPr>
          <w:rFonts w:ascii="Times New Roman" w:hAnsi="Times New Roman" w:cs="Times New Roman"/>
        </w:rPr>
        <w:t xml:space="preserve"> </w:t>
      </w:r>
      <w:r w:rsidR="0014440C" w:rsidRPr="00501B3D">
        <w:rPr>
          <w:rFonts w:ascii="Times New Roman" w:hAnsi="Times New Roman" w:cs="Times New Roman"/>
          <w:sz w:val="24"/>
          <w:szCs w:val="24"/>
        </w:rPr>
        <w:t>2876</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769</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r w:rsidR="0014440C" w:rsidRPr="00501B3D">
        <w:rPr>
          <w:rFonts w:ascii="Times New Roman" w:hAnsi="Times New Roman" w:cs="Times New Roman"/>
        </w:rPr>
        <w:t xml:space="preserve"> </w:t>
      </w:r>
      <w:r w:rsidR="0014440C" w:rsidRPr="00501B3D">
        <w:rPr>
          <w:rFonts w:ascii="Times New Roman" w:hAnsi="Times New Roman" w:cs="Times New Roman"/>
          <w:sz w:val="24"/>
          <w:szCs w:val="24"/>
        </w:rPr>
        <w:t>2360</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 xml:space="preserve"> (+</w:t>
      </w:r>
      <w:r w:rsidR="00AF40FB" w:rsidRPr="00501B3D">
        <w:rPr>
          <w:rFonts w:ascii="Times New Roman" w:hAnsi="Times New Roman" w:cs="Times New Roman"/>
          <w:sz w:val="24"/>
          <w:szCs w:val="24"/>
        </w:rPr>
        <w:t>779</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Pr="00501B3D">
        <w:rPr>
          <w:rFonts w:ascii="Times New Roman" w:hAnsi="Times New Roman" w:cs="Times New Roman"/>
          <w:sz w:val="24"/>
          <w:szCs w:val="24"/>
        </w:rPr>
        <w:t>).</w:t>
      </w:r>
    </w:p>
    <w:p w14:paraId="241601D7" w14:textId="0968FE20" w:rsidR="006E14A1" w:rsidRPr="00501B3D" w:rsidRDefault="00AB469C" w:rsidP="005F1E70">
      <w:pPr>
        <w:pStyle w:val="ListParagraph"/>
        <w:spacing w:after="0" w:line="360" w:lineRule="auto"/>
        <w:ind w:left="0" w:firstLine="720"/>
        <w:contextualSpacing w:val="0"/>
        <w:jc w:val="both"/>
        <w:rPr>
          <w:rFonts w:ascii="Times New Roman" w:hAnsi="Times New Roman" w:cs="Times New Roman"/>
          <w:sz w:val="24"/>
          <w:szCs w:val="24"/>
        </w:rPr>
      </w:pPr>
      <w:r w:rsidRPr="00501B3D">
        <w:rPr>
          <w:rFonts w:ascii="Times New Roman" w:hAnsi="Times New Roman" w:cs="Times New Roman"/>
          <w:sz w:val="24"/>
          <w:szCs w:val="24"/>
        </w:rPr>
        <w:t xml:space="preserve">Ministrijai savu funkciju veikšanai budžeta programmā 97.00.00 </w:t>
      </w:r>
      <w:r w:rsidR="00742CBA" w:rsidRPr="00501B3D">
        <w:rPr>
          <w:rFonts w:ascii="Times New Roman" w:hAnsi="Times New Roman" w:cs="Times New Roman"/>
          <w:sz w:val="24"/>
          <w:szCs w:val="24"/>
        </w:rPr>
        <w:t>“</w:t>
      </w:r>
      <w:r w:rsidRPr="00501B3D">
        <w:rPr>
          <w:rFonts w:ascii="Times New Roman" w:hAnsi="Times New Roman" w:cs="Times New Roman"/>
          <w:sz w:val="24"/>
          <w:szCs w:val="24"/>
        </w:rPr>
        <w:t>Nozaru vadība un politikas plānošana</w:t>
      </w:r>
      <w:r w:rsidR="00742CBA" w:rsidRPr="00501B3D">
        <w:rPr>
          <w:rFonts w:ascii="Times New Roman" w:hAnsi="Times New Roman" w:cs="Times New Roman"/>
          <w:sz w:val="24"/>
          <w:szCs w:val="24"/>
        </w:rPr>
        <w:t>”</w:t>
      </w:r>
      <w:r w:rsidRPr="00501B3D">
        <w:rPr>
          <w:rFonts w:ascii="Times New Roman" w:hAnsi="Times New Roman" w:cs="Times New Roman"/>
          <w:sz w:val="24"/>
          <w:szCs w:val="24"/>
        </w:rPr>
        <w:t xml:space="preserve"> 202</w:t>
      </w:r>
      <w:r w:rsidR="008B620B" w:rsidRPr="00501B3D">
        <w:rPr>
          <w:rFonts w:ascii="Times New Roman" w:hAnsi="Times New Roman" w:cs="Times New Roman"/>
          <w:sz w:val="24"/>
          <w:szCs w:val="24"/>
        </w:rPr>
        <w:t>4</w:t>
      </w:r>
      <w:r w:rsidRPr="00501B3D">
        <w:rPr>
          <w:rFonts w:ascii="Times New Roman" w:hAnsi="Times New Roman" w:cs="Times New Roman"/>
          <w:sz w:val="24"/>
          <w:szCs w:val="24"/>
        </w:rPr>
        <w:t>. gadā plānot</w:t>
      </w:r>
      <w:r w:rsidR="00742CBA" w:rsidRPr="00501B3D">
        <w:rPr>
          <w:rFonts w:ascii="Times New Roman" w:hAnsi="Times New Roman" w:cs="Times New Roman"/>
          <w:sz w:val="24"/>
          <w:szCs w:val="24"/>
        </w:rPr>
        <w:t>i</w:t>
      </w:r>
      <w:r w:rsidRPr="00501B3D">
        <w:rPr>
          <w:rFonts w:ascii="Times New Roman" w:hAnsi="Times New Roman" w:cs="Times New Roman"/>
          <w:sz w:val="24"/>
          <w:szCs w:val="24"/>
        </w:rPr>
        <w:t xml:space="preserve"> </w:t>
      </w:r>
      <w:r w:rsidR="00742CBA" w:rsidRPr="00501B3D">
        <w:rPr>
          <w:rFonts w:ascii="Times New Roman" w:hAnsi="Times New Roman" w:cs="Times New Roman"/>
          <w:sz w:val="24"/>
          <w:szCs w:val="24"/>
        </w:rPr>
        <w:t xml:space="preserve">izdevumi </w:t>
      </w:r>
      <w:r w:rsidR="008B620B" w:rsidRPr="00501B3D">
        <w:rPr>
          <w:rFonts w:ascii="Times New Roman" w:hAnsi="Times New Roman" w:cs="Times New Roman"/>
          <w:sz w:val="24"/>
          <w:szCs w:val="24"/>
        </w:rPr>
        <w:t>5 328 834</w:t>
      </w:r>
      <w:r w:rsidRPr="00501B3D">
        <w:rPr>
          <w:rFonts w:ascii="Times New Roman" w:hAnsi="Times New Roman" w:cs="Times New Roman"/>
          <w:sz w:val="24"/>
          <w:szCs w:val="24"/>
        </w:rPr>
        <w:t xml:space="preserve"> </w:t>
      </w:r>
      <w:proofErr w:type="spellStart"/>
      <w:r w:rsidRPr="00501B3D">
        <w:rPr>
          <w:rFonts w:ascii="Times New Roman" w:hAnsi="Times New Roman" w:cs="Times New Roman"/>
          <w:i/>
          <w:sz w:val="24"/>
          <w:szCs w:val="24"/>
        </w:rPr>
        <w:t>euro</w:t>
      </w:r>
      <w:proofErr w:type="spellEnd"/>
      <w:r w:rsidR="00596F43" w:rsidRPr="00501B3D">
        <w:rPr>
          <w:rFonts w:ascii="Times New Roman" w:hAnsi="Times New Roman" w:cs="Times New Roman"/>
          <w:i/>
          <w:sz w:val="24"/>
          <w:szCs w:val="24"/>
        </w:rPr>
        <w:t xml:space="preserve"> </w:t>
      </w:r>
      <w:r w:rsidR="00596F43" w:rsidRPr="00501B3D">
        <w:rPr>
          <w:rFonts w:ascii="Times New Roman" w:hAnsi="Times New Roman" w:cs="Times New Roman"/>
          <w:sz w:val="24"/>
          <w:szCs w:val="24"/>
        </w:rPr>
        <w:t>apmērā</w:t>
      </w:r>
      <w:r w:rsidRPr="00501B3D">
        <w:rPr>
          <w:rFonts w:ascii="Times New Roman" w:hAnsi="Times New Roman" w:cs="Times New Roman"/>
          <w:sz w:val="24"/>
          <w:szCs w:val="24"/>
        </w:rPr>
        <w:t xml:space="preserve">, kas ir </w:t>
      </w:r>
      <w:r w:rsidR="0073172A" w:rsidRPr="00501B3D">
        <w:rPr>
          <w:rFonts w:ascii="Times New Roman" w:hAnsi="Times New Roman" w:cs="Times New Roman"/>
          <w:sz w:val="24"/>
          <w:szCs w:val="24"/>
        </w:rPr>
        <w:t xml:space="preserve">par </w:t>
      </w:r>
      <w:r w:rsidR="0060406D" w:rsidRPr="00501B3D">
        <w:rPr>
          <w:rFonts w:ascii="Times New Roman" w:hAnsi="Times New Roman" w:cs="Times New Roman"/>
          <w:sz w:val="24"/>
          <w:szCs w:val="24"/>
        </w:rPr>
        <w:t>3</w:t>
      </w:r>
      <w:r w:rsidR="0073172A" w:rsidRPr="00501B3D">
        <w:rPr>
          <w:rFonts w:ascii="Times New Roman" w:hAnsi="Times New Roman" w:cs="Times New Roman"/>
          <w:sz w:val="24"/>
          <w:szCs w:val="24"/>
        </w:rPr>
        <w:t>7,</w:t>
      </w:r>
      <w:r w:rsidR="0060406D" w:rsidRPr="00501B3D">
        <w:rPr>
          <w:rFonts w:ascii="Times New Roman" w:hAnsi="Times New Roman" w:cs="Times New Roman"/>
          <w:sz w:val="24"/>
          <w:szCs w:val="24"/>
        </w:rPr>
        <w:t>6</w:t>
      </w:r>
      <w:r w:rsidR="0073172A" w:rsidRPr="00501B3D">
        <w:rPr>
          <w:rFonts w:ascii="Times New Roman" w:hAnsi="Times New Roman" w:cs="Times New Roman"/>
          <w:sz w:val="24"/>
          <w:szCs w:val="24"/>
        </w:rPr>
        <w:t>% vairāk kā 2021. gadā.</w:t>
      </w:r>
    </w:p>
    <w:p w14:paraId="4D80826E" w14:textId="70108113" w:rsidR="0073172A" w:rsidRPr="00501B3D" w:rsidRDefault="0073172A" w:rsidP="005F1E70">
      <w:pPr>
        <w:pStyle w:val="ListParagraph"/>
        <w:spacing w:after="0" w:line="360" w:lineRule="auto"/>
        <w:ind w:left="0" w:firstLine="720"/>
        <w:contextualSpacing w:val="0"/>
        <w:jc w:val="both"/>
        <w:rPr>
          <w:rFonts w:ascii="Times New Roman" w:hAnsi="Times New Roman" w:cs="Times New Roman"/>
          <w:sz w:val="24"/>
          <w:szCs w:val="24"/>
        </w:rPr>
      </w:pPr>
      <w:r w:rsidRPr="00501B3D">
        <w:rPr>
          <w:rFonts w:ascii="Times New Roman" w:hAnsi="Times New Roman" w:cs="Times New Roman"/>
          <w:sz w:val="24"/>
          <w:szCs w:val="24"/>
        </w:rPr>
        <w:t xml:space="preserve">Ministrija un tās nodarbinātie ir nodrošināti ar visiem nepieciešamajiem IKT resursiem, lai pilnvērtīgi veiktu darba pienākumus, strādājot gan klātienē, gan attālināti. Atbilstoši </w:t>
      </w:r>
      <w:r w:rsidR="00026219" w:rsidRPr="00501B3D">
        <w:rPr>
          <w:rFonts w:ascii="Times New Roman" w:hAnsi="Times New Roman" w:cs="Times New Roman"/>
          <w:sz w:val="24"/>
          <w:szCs w:val="24"/>
        </w:rPr>
        <w:t>202</w:t>
      </w:r>
      <w:r w:rsidR="004E44EF" w:rsidRPr="00501B3D">
        <w:rPr>
          <w:rFonts w:ascii="Times New Roman" w:hAnsi="Times New Roman" w:cs="Times New Roman"/>
          <w:sz w:val="24"/>
          <w:szCs w:val="24"/>
        </w:rPr>
        <w:t>3</w:t>
      </w:r>
      <w:r w:rsidR="00026219" w:rsidRPr="00501B3D">
        <w:rPr>
          <w:rFonts w:ascii="Times New Roman" w:hAnsi="Times New Roman" w:cs="Times New Roman"/>
          <w:sz w:val="24"/>
          <w:szCs w:val="24"/>
        </w:rPr>
        <w:t xml:space="preserve">. gada sākumā veiktajai </w:t>
      </w:r>
      <w:r w:rsidRPr="00501B3D">
        <w:rPr>
          <w:rFonts w:ascii="Times New Roman" w:hAnsi="Times New Roman" w:cs="Times New Roman"/>
          <w:sz w:val="24"/>
          <w:szCs w:val="24"/>
        </w:rPr>
        <w:t>iekšlietu nozarē nodarbināto aptaujai 8</w:t>
      </w:r>
      <w:r w:rsidR="004E44EF" w:rsidRPr="00501B3D">
        <w:rPr>
          <w:rFonts w:ascii="Times New Roman" w:hAnsi="Times New Roman" w:cs="Times New Roman"/>
          <w:sz w:val="24"/>
          <w:szCs w:val="24"/>
        </w:rPr>
        <w:t>1</w:t>
      </w:r>
      <w:r w:rsidRPr="00501B3D">
        <w:rPr>
          <w:rFonts w:ascii="Times New Roman" w:hAnsi="Times New Roman" w:cs="Times New Roman"/>
          <w:sz w:val="24"/>
          <w:szCs w:val="24"/>
        </w:rPr>
        <w:t>% Ministrijas darbinieki ir apmierināti ar tiem pieejamo aprīkojumu, strādājot Ministrijā klātienē (datortehnika, interneta pieslēgums, biroja aprīkojums).</w:t>
      </w:r>
    </w:p>
    <w:p w14:paraId="468D8ABA" w14:textId="25DD6168" w:rsidR="00100F82" w:rsidRPr="00501B3D" w:rsidRDefault="004F15F7" w:rsidP="005F1E70">
      <w:pPr>
        <w:pStyle w:val="ListParagraph"/>
        <w:spacing w:after="0" w:line="360" w:lineRule="auto"/>
        <w:ind w:left="0" w:firstLine="720"/>
        <w:contextualSpacing w:val="0"/>
        <w:jc w:val="both"/>
        <w:rPr>
          <w:rFonts w:ascii="Times New Roman" w:hAnsi="Times New Roman" w:cs="Times New Roman"/>
          <w:sz w:val="24"/>
          <w:szCs w:val="24"/>
        </w:rPr>
      </w:pPr>
      <w:r w:rsidRPr="00501B3D">
        <w:rPr>
          <w:rFonts w:ascii="Times New Roman" w:hAnsi="Times New Roman" w:cs="Times New Roman"/>
          <w:sz w:val="24"/>
          <w:szCs w:val="24"/>
        </w:rPr>
        <w:lastRenderedPageBreak/>
        <w:t xml:space="preserve">Ministrijā ir ieviesta arī iekšējā audita sistēma un izveidota Iekšējā audita nodaļa, kas veido iekšējā audita politiku Ministrijā un atbilstoši šai politikai sniedz neatkarīgus, objektīvus pārliecības radīšanas un konsultatīvos pakalpojumus Ministrijai un tās padotībā esošajām iestādēm. Vienlaikus, ņemot vērā Ministrijas Iekšējā audita nodaļas ierobežotos cilvēku resursus, </w:t>
      </w:r>
      <w:r w:rsidR="00900473" w:rsidRPr="00501B3D">
        <w:rPr>
          <w:rFonts w:ascii="Times New Roman" w:hAnsi="Times New Roman" w:cs="Times New Roman"/>
          <w:sz w:val="24"/>
          <w:szCs w:val="24"/>
        </w:rPr>
        <w:t>ir apgrūtināta tās efektīva funkcionēšana un pilnvērtīga tās potenciāla izmantošana.</w:t>
      </w:r>
    </w:p>
    <w:p w14:paraId="38EE9BD6" w14:textId="7D38FA66" w:rsidR="005F1E70" w:rsidRDefault="005F1E70" w:rsidP="005F1E70">
      <w:pPr>
        <w:pStyle w:val="ListParagraph"/>
        <w:spacing w:after="0" w:line="360" w:lineRule="auto"/>
        <w:ind w:left="0" w:firstLine="720"/>
        <w:contextualSpacing w:val="0"/>
        <w:jc w:val="both"/>
        <w:rPr>
          <w:rFonts w:ascii="Times New Roman" w:hAnsi="Times New Roman" w:cs="Times New Roman"/>
          <w:sz w:val="24"/>
          <w:szCs w:val="24"/>
        </w:rPr>
      </w:pPr>
    </w:p>
    <w:p w14:paraId="0DEB260D" w14:textId="111F721B"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7E691DD1" w14:textId="710E02DF"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19114BB" w14:textId="5C1C6B1B"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945CC5D" w14:textId="76B207B9"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26DF4B3B" w14:textId="5D33EFE2"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2C86967B" w14:textId="1DE57989"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7744348" w14:textId="3EC7F855"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188EBADC" w14:textId="0169260C"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39E544B2" w14:textId="3B328442"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1C089AAA" w14:textId="0D6A2E08"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3D749C4F" w14:textId="1D1A8950"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1E129157" w14:textId="78B39285"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1C08E843" w14:textId="06FDD5FC"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5306C79D" w14:textId="0164A290"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CBD144E" w14:textId="59D38C3B"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23B7AA59" w14:textId="277D3CA4"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A8C3A05" w14:textId="09597451"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7CFF701" w14:textId="2E264F92"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EC7571A" w14:textId="1FBDEB5B"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53FACA37" w14:textId="7217473D"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214D464" w14:textId="2C334864"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66CF028" w14:textId="75923485"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04F5CACE" w14:textId="675CFB50"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75220946" w14:textId="38B9A669"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531EEEC" w14:textId="447D4D20" w:rsid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1604A74F" w14:textId="77777777" w:rsidR="00501B3D" w:rsidRPr="00501B3D" w:rsidRDefault="00501B3D" w:rsidP="005F1E70">
      <w:pPr>
        <w:pStyle w:val="ListParagraph"/>
        <w:spacing w:after="0" w:line="360" w:lineRule="auto"/>
        <w:ind w:left="0" w:firstLine="720"/>
        <w:contextualSpacing w:val="0"/>
        <w:jc w:val="both"/>
        <w:rPr>
          <w:rFonts w:ascii="Times New Roman" w:hAnsi="Times New Roman" w:cs="Times New Roman"/>
          <w:sz w:val="24"/>
          <w:szCs w:val="24"/>
        </w:rPr>
      </w:pPr>
    </w:p>
    <w:p w14:paraId="4A280B1F" w14:textId="6D8C785E" w:rsidR="00992E40" w:rsidRPr="00501B3D" w:rsidRDefault="00992E40" w:rsidP="00501B3D">
      <w:pPr>
        <w:pStyle w:val="ListParagraph"/>
        <w:numPr>
          <w:ilvl w:val="0"/>
          <w:numId w:val="17"/>
        </w:numPr>
        <w:spacing w:before="240" w:after="240"/>
        <w:jc w:val="center"/>
        <w:outlineLvl w:val="0"/>
        <w:rPr>
          <w:rFonts w:ascii="Times New Roman" w:hAnsi="Times New Roman" w:cs="Times New Roman"/>
          <w:b/>
          <w:color w:val="1F3864" w:themeColor="accent5" w:themeShade="80"/>
          <w:sz w:val="32"/>
          <w:szCs w:val="32"/>
        </w:rPr>
      </w:pPr>
      <w:bookmarkStart w:id="20" w:name="_Toc118192610"/>
      <w:r w:rsidRPr="00501B3D">
        <w:rPr>
          <w:rFonts w:ascii="Times New Roman" w:hAnsi="Times New Roman" w:cs="Times New Roman"/>
          <w:b/>
          <w:color w:val="1F3864" w:themeColor="accent5" w:themeShade="80"/>
          <w:sz w:val="32"/>
          <w:szCs w:val="32"/>
        </w:rPr>
        <w:lastRenderedPageBreak/>
        <w:t>SVID analīze</w:t>
      </w:r>
      <w:bookmarkEnd w:id="20"/>
    </w:p>
    <w:p w14:paraId="7D3F8A63" w14:textId="77777777" w:rsidR="00221716" w:rsidRPr="00501B3D" w:rsidRDefault="00221716">
      <w:pPr>
        <w:rPr>
          <w:rFonts w:ascii="Times New Roman" w:hAnsi="Times New Roman" w:cs="Times New Roman"/>
          <w:b/>
          <w:color w:val="1F3864" w:themeColor="accent5" w:themeShade="80"/>
          <w:sz w:val="24"/>
          <w:u w:val="single"/>
        </w:rPr>
      </w:pPr>
      <w:r w:rsidRPr="00501B3D">
        <w:rPr>
          <w:rFonts w:ascii="Times New Roman" w:hAnsi="Times New Roman" w:cs="Times New Roman"/>
          <w:b/>
          <w:color w:val="1F3864" w:themeColor="accent5" w:themeShade="80"/>
          <w:sz w:val="24"/>
          <w:u w:val="single"/>
        </w:rPr>
        <w:t>Stiprās puses</w:t>
      </w:r>
    </w:p>
    <w:p w14:paraId="09ACE7E9" w14:textId="681F0061" w:rsidR="00221716" w:rsidRPr="00501B3D" w:rsidRDefault="00172528" w:rsidP="005F1E70">
      <w:pPr>
        <w:pStyle w:val="ListParagraph"/>
        <w:numPr>
          <w:ilvl w:val="0"/>
          <w:numId w:val="5"/>
        </w:numPr>
        <w:spacing w:line="276" w:lineRule="auto"/>
        <w:jc w:val="both"/>
        <w:rPr>
          <w:rFonts w:ascii="Times New Roman" w:hAnsi="Times New Roman" w:cs="Times New Roman"/>
          <w:sz w:val="24"/>
        </w:rPr>
      </w:pPr>
      <w:r w:rsidRPr="00501B3D">
        <w:rPr>
          <w:rFonts w:ascii="Times New Roman" w:hAnsi="Times New Roman" w:cs="Times New Roman"/>
          <w:sz w:val="24"/>
        </w:rPr>
        <w:t xml:space="preserve">Vairāk kā </w:t>
      </w:r>
      <w:r w:rsidR="004E44EF" w:rsidRPr="00501B3D">
        <w:rPr>
          <w:rFonts w:ascii="Times New Roman" w:hAnsi="Times New Roman" w:cs="Times New Roman"/>
          <w:sz w:val="24"/>
        </w:rPr>
        <w:t>94</w:t>
      </w:r>
      <w:r w:rsidRPr="00501B3D">
        <w:rPr>
          <w:rFonts w:ascii="Times New Roman" w:hAnsi="Times New Roman" w:cs="Times New Roman"/>
          <w:sz w:val="24"/>
        </w:rPr>
        <w:t xml:space="preserve">% </w:t>
      </w:r>
      <w:r w:rsidR="00AB041C" w:rsidRPr="00501B3D">
        <w:rPr>
          <w:rFonts w:ascii="Times New Roman" w:hAnsi="Times New Roman" w:cs="Times New Roman"/>
          <w:sz w:val="24"/>
        </w:rPr>
        <w:t>M</w:t>
      </w:r>
      <w:r w:rsidRPr="00501B3D">
        <w:rPr>
          <w:rFonts w:ascii="Times New Roman" w:hAnsi="Times New Roman" w:cs="Times New Roman"/>
          <w:sz w:val="24"/>
        </w:rPr>
        <w:t>inistrijas nodarbināto</w:t>
      </w:r>
      <w:r w:rsidR="001D0B50" w:rsidRPr="00501B3D">
        <w:rPr>
          <w:rFonts w:ascii="Times New Roman" w:hAnsi="Times New Roman" w:cs="Times New Roman"/>
          <w:sz w:val="24"/>
        </w:rPr>
        <w:t xml:space="preserve"> ir lepni strādāt </w:t>
      </w:r>
      <w:r w:rsidR="00AB041C" w:rsidRPr="00501B3D">
        <w:rPr>
          <w:rFonts w:ascii="Times New Roman" w:hAnsi="Times New Roman" w:cs="Times New Roman"/>
          <w:sz w:val="24"/>
        </w:rPr>
        <w:t>Ministrijā.</w:t>
      </w:r>
      <w:r w:rsidR="004E44EF" w:rsidRPr="00501B3D">
        <w:rPr>
          <w:rStyle w:val="FootnoteReference"/>
          <w:rFonts w:ascii="Times New Roman" w:hAnsi="Times New Roman" w:cs="Times New Roman"/>
          <w:sz w:val="24"/>
        </w:rPr>
        <w:footnoteReference w:id="25"/>
      </w:r>
    </w:p>
    <w:p w14:paraId="2746231B" w14:textId="77777777" w:rsidR="00DF777D" w:rsidRPr="00501B3D" w:rsidRDefault="00DF777D" w:rsidP="005F1E70">
      <w:pPr>
        <w:pStyle w:val="ListParagraph"/>
        <w:numPr>
          <w:ilvl w:val="0"/>
          <w:numId w:val="5"/>
        </w:numPr>
        <w:spacing w:line="276" w:lineRule="auto"/>
        <w:jc w:val="both"/>
        <w:rPr>
          <w:rFonts w:ascii="Times New Roman" w:hAnsi="Times New Roman" w:cs="Times New Roman"/>
          <w:sz w:val="24"/>
        </w:rPr>
      </w:pPr>
      <w:r w:rsidRPr="00501B3D">
        <w:rPr>
          <w:rFonts w:ascii="Times New Roman" w:hAnsi="Times New Roman" w:cs="Times New Roman"/>
          <w:sz w:val="24"/>
        </w:rPr>
        <w:t>Iekšējo procesu digitalizācija un strukturālās reformas.</w:t>
      </w:r>
    </w:p>
    <w:p w14:paraId="48BD8439" w14:textId="77777777" w:rsidR="006B192E" w:rsidRPr="00501B3D" w:rsidRDefault="006B192E" w:rsidP="005F1E70">
      <w:pPr>
        <w:pStyle w:val="ListParagraph"/>
        <w:numPr>
          <w:ilvl w:val="0"/>
          <w:numId w:val="5"/>
        </w:numPr>
        <w:spacing w:line="276" w:lineRule="auto"/>
        <w:jc w:val="both"/>
        <w:rPr>
          <w:rFonts w:ascii="Times New Roman" w:hAnsi="Times New Roman" w:cs="Times New Roman"/>
          <w:sz w:val="24"/>
        </w:rPr>
      </w:pPr>
      <w:r w:rsidRPr="00501B3D">
        <w:rPr>
          <w:rFonts w:ascii="Times New Roman" w:hAnsi="Times New Roman" w:cs="Times New Roman"/>
          <w:sz w:val="24"/>
        </w:rPr>
        <w:t>Pieejama kvalitatīva, jauna tehnika, tostarp portatīvie datori.</w:t>
      </w:r>
    </w:p>
    <w:p w14:paraId="29864823" w14:textId="77777777" w:rsidR="006B192E" w:rsidRPr="00501B3D" w:rsidRDefault="006B192E" w:rsidP="005F1E70">
      <w:pPr>
        <w:pStyle w:val="ListParagraph"/>
        <w:numPr>
          <w:ilvl w:val="0"/>
          <w:numId w:val="5"/>
        </w:numPr>
        <w:spacing w:line="276" w:lineRule="auto"/>
        <w:jc w:val="both"/>
        <w:rPr>
          <w:rFonts w:ascii="Times New Roman" w:hAnsi="Times New Roman" w:cs="Times New Roman"/>
          <w:sz w:val="24"/>
        </w:rPr>
      </w:pPr>
      <w:r w:rsidRPr="00501B3D">
        <w:rPr>
          <w:rFonts w:ascii="Times New Roman" w:hAnsi="Times New Roman" w:cs="Times New Roman"/>
          <w:sz w:val="24"/>
        </w:rPr>
        <w:t>Iespēja daļu darba pienākumus veikt attālināti.</w:t>
      </w:r>
    </w:p>
    <w:p w14:paraId="1F8A40DB" w14:textId="77777777" w:rsidR="00221716" w:rsidRPr="00501B3D" w:rsidRDefault="00221716" w:rsidP="005F1E70">
      <w:pPr>
        <w:spacing w:line="276" w:lineRule="auto"/>
        <w:rPr>
          <w:rFonts w:ascii="Times New Roman" w:hAnsi="Times New Roman" w:cs="Times New Roman"/>
          <w:b/>
          <w:color w:val="1F3864" w:themeColor="accent5" w:themeShade="80"/>
          <w:sz w:val="24"/>
          <w:u w:val="single"/>
        </w:rPr>
      </w:pPr>
      <w:r w:rsidRPr="00501B3D">
        <w:rPr>
          <w:rFonts w:ascii="Times New Roman" w:hAnsi="Times New Roman" w:cs="Times New Roman"/>
          <w:b/>
          <w:color w:val="1F3864" w:themeColor="accent5" w:themeShade="80"/>
          <w:sz w:val="24"/>
          <w:u w:val="single"/>
        </w:rPr>
        <w:t>Vājās puses</w:t>
      </w:r>
    </w:p>
    <w:p w14:paraId="382C71AB" w14:textId="105BEE9B" w:rsidR="00172528" w:rsidRPr="00501B3D" w:rsidRDefault="00DF777D" w:rsidP="005F1E70">
      <w:pPr>
        <w:pStyle w:val="ListParagraph"/>
        <w:numPr>
          <w:ilvl w:val="0"/>
          <w:numId w:val="6"/>
        </w:numPr>
        <w:spacing w:line="276" w:lineRule="auto"/>
        <w:jc w:val="both"/>
        <w:rPr>
          <w:rFonts w:ascii="Times New Roman" w:hAnsi="Times New Roman" w:cs="Times New Roman"/>
          <w:sz w:val="24"/>
        </w:rPr>
      </w:pPr>
      <w:r w:rsidRPr="00501B3D">
        <w:rPr>
          <w:rFonts w:ascii="Times New Roman" w:hAnsi="Times New Roman" w:cs="Times New Roman"/>
          <w:sz w:val="24"/>
        </w:rPr>
        <w:t>Nepietiekoši cilvēkresursi (politikas plānošanā, krīzes vadībā, attīstībā, digitalizācijā) un esošo nodarbināto pārslodze.</w:t>
      </w:r>
    </w:p>
    <w:p w14:paraId="5415B9EE" w14:textId="5A2108CE" w:rsidR="00DF777D" w:rsidRPr="00501B3D" w:rsidRDefault="00DF777D" w:rsidP="005F1E70">
      <w:pPr>
        <w:pStyle w:val="ListParagraph"/>
        <w:numPr>
          <w:ilvl w:val="0"/>
          <w:numId w:val="6"/>
        </w:numPr>
        <w:spacing w:line="276" w:lineRule="auto"/>
        <w:jc w:val="both"/>
        <w:rPr>
          <w:rFonts w:ascii="Times New Roman" w:hAnsi="Times New Roman" w:cs="Times New Roman"/>
          <w:sz w:val="24"/>
        </w:rPr>
      </w:pPr>
      <w:r w:rsidRPr="00501B3D">
        <w:rPr>
          <w:rFonts w:ascii="Times New Roman" w:hAnsi="Times New Roman" w:cs="Times New Roman"/>
          <w:sz w:val="24"/>
        </w:rPr>
        <w:t xml:space="preserve">Personāla mainība un </w:t>
      </w:r>
      <w:r w:rsidR="006B192E" w:rsidRPr="00501B3D">
        <w:rPr>
          <w:rFonts w:ascii="Times New Roman" w:hAnsi="Times New Roman" w:cs="Times New Roman"/>
          <w:sz w:val="24"/>
        </w:rPr>
        <w:t xml:space="preserve">ar to </w:t>
      </w:r>
      <w:r w:rsidRPr="00501B3D">
        <w:rPr>
          <w:rFonts w:ascii="Times New Roman" w:hAnsi="Times New Roman" w:cs="Times New Roman"/>
          <w:sz w:val="24"/>
        </w:rPr>
        <w:t xml:space="preserve">saistītās </w:t>
      </w:r>
      <w:r w:rsidR="00D503CB" w:rsidRPr="00501B3D">
        <w:rPr>
          <w:rFonts w:ascii="Times New Roman" w:hAnsi="Times New Roman" w:cs="Times New Roman"/>
          <w:sz w:val="24"/>
        </w:rPr>
        <w:t>institucionālās atmiņas saglabāšana.</w:t>
      </w:r>
    </w:p>
    <w:p w14:paraId="782BDFCD" w14:textId="7A3D49E1" w:rsidR="00172528" w:rsidRPr="00501B3D" w:rsidRDefault="00172528" w:rsidP="005F1E70">
      <w:pPr>
        <w:pStyle w:val="ListParagraph"/>
        <w:numPr>
          <w:ilvl w:val="0"/>
          <w:numId w:val="6"/>
        </w:numPr>
        <w:spacing w:line="276" w:lineRule="auto"/>
        <w:jc w:val="both"/>
        <w:rPr>
          <w:rFonts w:ascii="Times New Roman" w:hAnsi="Times New Roman" w:cs="Times New Roman"/>
          <w:sz w:val="24"/>
        </w:rPr>
      </w:pPr>
      <w:r w:rsidRPr="00501B3D">
        <w:rPr>
          <w:rFonts w:ascii="Times New Roman" w:hAnsi="Times New Roman" w:cs="Times New Roman"/>
          <w:sz w:val="24"/>
        </w:rPr>
        <w:t>Liel</w:t>
      </w:r>
      <w:r w:rsidR="00F23EF8" w:rsidRPr="00501B3D">
        <w:rPr>
          <w:rFonts w:ascii="Times New Roman" w:hAnsi="Times New Roman" w:cs="Times New Roman"/>
          <w:sz w:val="24"/>
        </w:rPr>
        <w:t>a</w:t>
      </w:r>
      <w:r w:rsidRPr="00501B3D">
        <w:rPr>
          <w:rFonts w:ascii="Times New Roman" w:hAnsi="Times New Roman" w:cs="Times New Roman"/>
          <w:sz w:val="24"/>
        </w:rPr>
        <w:t xml:space="preserve"> daļa Ministrijas darbinieku nav apmierināti ar savu atalgojumu.</w:t>
      </w:r>
    </w:p>
    <w:p w14:paraId="608AAF2F" w14:textId="1C48451C" w:rsidR="00DF777D" w:rsidRPr="00501B3D" w:rsidRDefault="00DF777D" w:rsidP="005F1E70">
      <w:pPr>
        <w:pStyle w:val="ListParagraph"/>
        <w:numPr>
          <w:ilvl w:val="0"/>
          <w:numId w:val="6"/>
        </w:numPr>
        <w:spacing w:line="276" w:lineRule="auto"/>
        <w:jc w:val="both"/>
        <w:rPr>
          <w:rFonts w:ascii="Times New Roman" w:hAnsi="Times New Roman" w:cs="Times New Roman"/>
          <w:sz w:val="24"/>
        </w:rPr>
      </w:pPr>
      <w:r w:rsidRPr="00501B3D">
        <w:rPr>
          <w:rFonts w:ascii="Times New Roman" w:hAnsi="Times New Roman" w:cs="Times New Roman"/>
          <w:sz w:val="24"/>
        </w:rPr>
        <w:t>Liels īpatsvars nodarbināto (</w:t>
      </w:r>
      <w:r w:rsidR="00F23EF8" w:rsidRPr="00501B3D">
        <w:rPr>
          <w:rFonts w:ascii="Times New Roman" w:hAnsi="Times New Roman" w:cs="Times New Roman"/>
          <w:sz w:val="24"/>
        </w:rPr>
        <w:t>33</w:t>
      </w:r>
      <w:r w:rsidRPr="00501B3D">
        <w:rPr>
          <w:rFonts w:ascii="Times New Roman" w:hAnsi="Times New Roman" w:cs="Times New Roman"/>
          <w:sz w:val="24"/>
        </w:rPr>
        <w:t>%) ir ar augstu stresa līmeni.</w:t>
      </w:r>
    </w:p>
    <w:p w14:paraId="436F821B" w14:textId="77777777" w:rsidR="00DF777D" w:rsidRPr="00501B3D" w:rsidRDefault="006B192E" w:rsidP="005F1E70">
      <w:pPr>
        <w:pStyle w:val="ListParagraph"/>
        <w:numPr>
          <w:ilvl w:val="0"/>
          <w:numId w:val="6"/>
        </w:numPr>
        <w:spacing w:line="276" w:lineRule="auto"/>
        <w:jc w:val="both"/>
        <w:rPr>
          <w:rFonts w:ascii="Times New Roman" w:hAnsi="Times New Roman" w:cs="Times New Roman"/>
          <w:sz w:val="24"/>
        </w:rPr>
      </w:pPr>
      <w:r w:rsidRPr="00501B3D">
        <w:rPr>
          <w:rFonts w:ascii="Times New Roman" w:hAnsi="Times New Roman" w:cs="Times New Roman"/>
          <w:sz w:val="24"/>
        </w:rPr>
        <w:t>Mazs procesu automatizācijas līmenis, liels manuāla darba apjoms.</w:t>
      </w:r>
    </w:p>
    <w:p w14:paraId="27DF0C18" w14:textId="77777777" w:rsidR="00221716" w:rsidRPr="00501B3D" w:rsidRDefault="00221716" w:rsidP="005F1E70">
      <w:pPr>
        <w:spacing w:line="276" w:lineRule="auto"/>
        <w:rPr>
          <w:rFonts w:ascii="Times New Roman" w:hAnsi="Times New Roman" w:cs="Times New Roman"/>
          <w:b/>
          <w:color w:val="1F3864" w:themeColor="accent5" w:themeShade="80"/>
          <w:sz w:val="24"/>
          <w:u w:val="single"/>
        </w:rPr>
      </w:pPr>
      <w:r w:rsidRPr="00501B3D">
        <w:rPr>
          <w:rFonts w:ascii="Times New Roman" w:hAnsi="Times New Roman" w:cs="Times New Roman"/>
          <w:b/>
          <w:color w:val="1F3864" w:themeColor="accent5" w:themeShade="80"/>
          <w:sz w:val="24"/>
          <w:u w:val="single"/>
        </w:rPr>
        <w:t>Iespējas</w:t>
      </w:r>
    </w:p>
    <w:p w14:paraId="32DFB6BB" w14:textId="77777777" w:rsidR="00221716" w:rsidRPr="00501B3D" w:rsidRDefault="006B192E" w:rsidP="005F1E70">
      <w:pPr>
        <w:pStyle w:val="ListParagraph"/>
        <w:numPr>
          <w:ilvl w:val="0"/>
          <w:numId w:val="7"/>
        </w:numPr>
        <w:spacing w:line="276" w:lineRule="auto"/>
        <w:jc w:val="both"/>
        <w:rPr>
          <w:rFonts w:ascii="Times New Roman" w:hAnsi="Times New Roman" w:cs="Times New Roman"/>
          <w:sz w:val="24"/>
        </w:rPr>
      </w:pPr>
      <w:r w:rsidRPr="00501B3D">
        <w:rPr>
          <w:rFonts w:ascii="Times New Roman" w:hAnsi="Times New Roman" w:cs="Times New Roman"/>
          <w:sz w:val="24"/>
        </w:rPr>
        <w:t>Skaidras attīstības prioritātes nacionālajā līmenī, kā arī pieaugoša iekšējās drošības tematikas nozīme valsts un starptautiskā līmenī.</w:t>
      </w:r>
    </w:p>
    <w:p w14:paraId="4B71FEBF" w14:textId="77777777" w:rsidR="006B192E" w:rsidRPr="00501B3D" w:rsidRDefault="006B192E" w:rsidP="005F1E70">
      <w:pPr>
        <w:pStyle w:val="ListParagraph"/>
        <w:numPr>
          <w:ilvl w:val="0"/>
          <w:numId w:val="7"/>
        </w:numPr>
        <w:spacing w:line="276" w:lineRule="auto"/>
        <w:jc w:val="both"/>
        <w:rPr>
          <w:rFonts w:ascii="Times New Roman" w:hAnsi="Times New Roman" w:cs="Times New Roman"/>
          <w:sz w:val="24"/>
        </w:rPr>
      </w:pPr>
      <w:r w:rsidRPr="00501B3D">
        <w:rPr>
          <w:rFonts w:ascii="Times New Roman" w:hAnsi="Times New Roman" w:cs="Times New Roman"/>
          <w:sz w:val="24"/>
        </w:rPr>
        <w:t>Iespējas piesaistīt valsts budžet</w:t>
      </w:r>
      <w:r w:rsidR="00F80075" w:rsidRPr="00501B3D">
        <w:rPr>
          <w:rFonts w:ascii="Times New Roman" w:hAnsi="Times New Roman" w:cs="Times New Roman"/>
          <w:sz w:val="24"/>
        </w:rPr>
        <w:t>a, Eiropas Savienības un ārvalstu finanšu instrumentu līdzekļus.</w:t>
      </w:r>
    </w:p>
    <w:p w14:paraId="6F46C4EB" w14:textId="66FBA777" w:rsidR="006B192E" w:rsidRPr="00501B3D" w:rsidRDefault="006B192E" w:rsidP="005F1E70">
      <w:pPr>
        <w:pStyle w:val="ListParagraph"/>
        <w:numPr>
          <w:ilvl w:val="0"/>
          <w:numId w:val="7"/>
        </w:numPr>
        <w:spacing w:line="276" w:lineRule="auto"/>
        <w:jc w:val="both"/>
        <w:rPr>
          <w:rFonts w:ascii="Times New Roman" w:hAnsi="Times New Roman" w:cs="Times New Roman"/>
          <w:sz w:val="24"/>
        </w:rPr>
      </w:pPr>
      <w:r w:rsidRPr="00501B3D">
        <w:rPr>
          <w:rFonts w:ascii="Times New Roman" w:hAnsi="Times New Roman" w:cs="Times New Roman"/>
          <w:sz w:val="24"/>
        </w:rPr>
        <w:t>Arvien plašākais jauno tehnoloģiju klāsts dod iespēju digitalizēt, automatizēt un būtiski efektivizēt iekšējos procesus un nozarē nodarbināto darbu.</w:t>
      </w:r>
    </w:p>
    <w:p w14:paraId="5F546AB4" w14:textId="6D16C313" w:rsidR="00172528" w:rsidRPr="00501B3D" w:rsidRDefault="00D45481" w:rsidP="005F1E70">
      <w:pPr>
        <w:pStyle w:val="ListParagraph"/>
        <w:numPr>
          <w:ilvl w:val="0"/>
          <w:numId w:val="7"/>
        </w:numPr>
        <w:spacing w:line="276" w:lineRule="auto"/>
        <w:jc w:val="both"/>
        <w:rPr>
          <w:rFonts w:ascii="Times New Roman" w:hAnsi="Times New Roman" w:cs="Times New Roman"/>
          <w:sz w:val="24"/>
        </w:rPr>
      </w:pPr>
      <w:r w:rsidRPr="00501B3D">
        <w:rPr>
          <w:rFonts w:ascii="Times New Roman" w:hAnsi="Times New Roman" w:cs="Times New Roman"/>
          <w:sz w:val="24"/>
        </w:rPr>
        <w:t>Valsts pārvaldes atlīdzības reforma, paredzot nodrošināt valsts pārvaldē nodarbināto atalgojumu 80% apmērā no līdzvērtīgu amatu atalgojuma privātajā sektorā.</w:t>
      </w:r>
    </w:p>
    <w:p w14:paraId="08FD5BEB" w14:textId="77777777" w:rsidR="00221716" w:rsidRPr="00501B3D" w:rsidRDefault="00221716" w:rsidP="005F1E70">
      <w:pPr>
        <w:spacing w:line="276" w:lineRule="auto"/>
        <w:rPr>
          <w:rFonts w:ascii="Times New Roman" w:hAnsi="Times New Roman" w:cs="Times New Roman"/>
          <w:b/>
          <w:color w:val="1F3864" w:themeColor="accent5" w:themeShade="80"/>
          <w:sz w:val="24"/>
          <w:u w:val="single"/>
        </w:rPr>
      </w:pPr>
      <w:r w:rsidRPr="00501B3D">
        <w:rPr>
          <w:rFonts w:ascii="Times New Roman" w:hAnsi="Times New Roman" w:cs="Times New Roman"/>
          <w:b/>
          <w:color w:val="1F3864" w:themeColor="accent5" w:themeShade="80"/>
          <w:sz w:val="24"/>
          <w:u w:val="single"/>
        </w:rPr>
        <w:t>Draudi</w:t>
      </w:r>
    </w:p>
    <w:p w14:paraId="7ABBF340" w14:textId="23676CB0" w:rsidR="00221716" w:rsidRPr="00501B3D" w:rsidRDefault="00F80075" w:rsidP="005F1E70">
      <w:pPr>
        <w:pStyle w:val="ListParagraph"/>
        <w:numPr>
          <w:ilvl w:val="0"/>
          <w:numId w:val="8"/>
        </w:numPr>
        <w:spacing w:line="276" w:lineRule="auto"/>
        <w:jc w:val="both"/>
        <w:rPr>
          <w:rFonts w:ascii="Times New Roman" w:hAnsi="Times New Roman" w:cs="Times New Roman"/>
          <w:sz w:val="24"/>
        </w:rPr>
      </w:pPr>
      <w:r w:rsidRPr="00501B3D">
        <w:rPr>
          <w:rFonts w:ascii="Times New Roman" w:hAnsi="Times New Roman" w:cs="Times New Roman"/>
          <w:sz w:val="24"/>
        </w:rPr>
        <w:t xml:space="preserve">Finansējuma nepietiekamība </w:t>
      </w:r>
      <w:r w:rsidR="00AF5E9C" w:rsidRPr="00501B3D">
        <w:rPr>
          <w:rFonts w:ascii="Times New Roman" w:hAnsi="Times New Roman" w:cs="Times New Roman"/>
          <w:sz w:val="24"/>
        </w:rPr>
        <w:t xml:space="preserve">izvirzīto </w:t>
      </w:r>
      <w:r w:rsidRPr="00501B3D">
        <w:rPr>
          <w:rFonts w:ascii="Times New Roman" w:hAnsi="Times New Roman" w:cs="Times New Roman"/>
          <w:sz w:val="24"/>
        </w:rPr>
        <w:t>mērķu sasniegšanai, īpaši augstas inflācijas apstākļos.</w:t>
      </w:r>
    </w:p>
    <w:p w14:paraId="176FD6E3" w14:textId="207918E1" w:rsidR="00F80075" w:rsidRPr="00501B3D" w:rsidRDefault="00F80075" w:rsidP="005F1E70">
      <w:pPr>
        <w:pStyle w:val="ListParagraph"/>
        <w:numPr>
          <w:ilvl w:val="0"/>
          <w:numId w:val="8"/>
        </w:numPr>
        <w:spacing w:line="276" w:lineRule="auto"/>
        <w:jc w:val="both"/>
        <w:rPr>
          <w:rFonts w:ascii="Times New Roman" w:hAnsi="Times New Roman" w:cs="Times New Roman"/>
          <w:sz w:val="24"/>
        </w:rPr>
      </w:pPr>
      <w:r w:rsidRPr="00501B3D">
        <w:rPr>
          <w:rFonts w:ascii="Times New Roman" w:hAnsi="Times New Roman" w:cs="Times New Roman"/>
          <w:sz w:val="24"/>
        </w:rPr>
        <w:t xml:space="preserve">Kiberapdraudējums </w:t>
      </w:r>
      <w:r w:rsidR="00026219" w:rsidRPr="00501B3D">
        <w:rPr>
          <w:rFonts w:ascii="Times New Roman" w:hAnsi="Times New Roman" w:cs="Times New Roman"/>
          <w:sz w:val="24"/>
        </w:rPr>
        <w:t xml:space="preserve">no noziedzīgiem grupējumiem un </w:t>
      </w:r>
      <w:r w:rsidR="00022A83" w:rsidRPr="00501B3D">
        <w:rPr>
          <w:rFonts w:ascii="Times New Roman" w:hAnsi="Times New Roman" w:cs="Times New Roman"/>
          <w:sz w:val="24"/>
        </w:rPr>
        <w:t>nedraudzīgām valstīm.</w:t>
      </w:r>
    </w:p>
    <w:p w14:paraId="38938706" w14:textId="5384D56E" w:rsidR="0025304A" w:rsidRPr="00501B3D" w:rsidRDefault="0025304A" w:rsidP="005F1E70">
      <w:pPr>
        <w:pStyle w:val="ListParagraph"/>
        <w:numPr>
          <w:ilvl w:val="0"/>
          <w:numId w:val="8"/>
        </w:numPr>
        <w:spacing w:line="276" w:lineRule="auto"/>
        <w:jc w:val="both"/>
        <w:rPr>
          <w:rFonts w:ascii="Times New Roman" w:hAnsi="Times New Roman" w:cs="Times New Roman"/>
          <w:sz w:val="24"/>
        </w:rPr>
      </w:pPr>
      <w:r w:rsidRPr="00501B3D">
        <w:rPr>
          <w:rFonts w:ascii="Times New Roman" w:hAnsi="Times New Roman" w:cs="Times New Roman"/>
          <w:sz w:val="24"/>
        </w:rPr>
        <w:t>Darbinieku aizplūšana uz privāto sektoru.</w:t>
      </w:r>
    </w:p>
    <w:p w14:paraId="29FCC989" w14:textId="680738F8" w:rsidR="00026219" w:rsidRPr="00501B3D" w:rsidRDefault="00026219" w:rsidP="005F1E70">
      <w:pPr>
        <w:pStyle w:val="ListParagraph"/>
        <w:numPr>
          <w:ilvl w:val="0"/>
          <w:numId w:val="8"/>
        </w:numPr>
        <w:spacing w:line="276" w:lineRule="auto"/>
        <w:jc w:val="both"/>
        <w:rPr>
          <w:rFonts w:ascii="Times New Roman" w:hAnsi="Times New Roman" w:cs="Times New Roman"/>
          <w:sz w:val="24"/>
        </w:rPr>
      </w:pPr>
      <w:r w:rsidRPr="00501B3D">
        <w:rPr>
          <w:rFonts w:ascii="Times New Roman" w:hAnsi="Times New Roman" w:cs="Times New Roman"/>
          <w:sz w:val="24"/>
        </w:rPr>
        <w:t>Grūtības ilglaicīgi aizpildīt vakantās amata vietas ar kvalificētiem profesionāļiem, ņemot vērā demogrāfiskās tendences un grūtības konkurēt ar privāto sektoru.</w:t>
      </w:r>
    </w:p>
    <w:p w14:paraId="0EAFD2BD" w14:textId="60CB497B" w:rsidR="00F80075" w:rsidRPr="00501B3D" w:rsidRDefault="00F80075" w:rsidP="005F1E70">
      <w:pPr>
        <w:pStyle w:val="ListParagraph"/>
        <w:numPr>
          <w:ilvl w:val="0"/>
          <w:numId w:val="8"/>
        </w:numPr>
        <w:spacing w:line="276" w:lineRule="auto"/>
        <w:jc w:val="both"/>
        <w:rPr>
          <w:rFonts w:ascii="Times New Roman" w:hAnsi="Times New Roman" w:cs="Times New Roman"/>
          <w:sz w:val="24"/>
        </w:rPr>
      </w:pPr>
      <w:r w:rsidRPr="00501B3D">
        <w:rPr>
          <w:rFonts w:ascii="Times New Roman" w:hAnsi="Times New Roman" w:cs="Times New Roman"/>
          <w:sz w:val="24"/>
        </w:rPr>
        <w:t>Zema iedzīv</w:t>
      </w:r>
      <w:r w:rsidR="00F63862" w:rsidRPr="00501B3D">
        <w:rPr>
          <w:rFonts w:ascii="Times New Roman" w:hAnsi="Times New Roman" w:cs="Times New Roman"/>
          <w:sz w:val="24"/>
        </w:rPr>
        <w:t>otāju uzticība valsts pārvaldei, kas negatīvi ietekmē sabiedrības atbalstu pieņemtajiem lēmumiem.</w:t>
      </w:r>
    </w:p>
    <w:p w14:paraId="5B0B5F95" w14:textId="480A14B2" w:rsidR="00221716" w:rsidRPr="00501B3D" w:rsidRDefault="00221716" w:rsidP="005F1E70">
      <w:pPr>
        <w:spacing w:line="276" w:lineRule="auto"/>
        <w:rPr>
          <w:rFonts w:ascii="Times New Roman" w:hAnsi="Times New Roman" w:cs="Times New Roman"/>
          <w:sz w:val="28"/>
        </w:rPr>
      </w:pPr>
    </w:p>
    <w:sectPr w:rsidR="00221716" w:rsidRPr="00501B3D" w:rsidSect="007F360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E09A" w14:textId="77777777" w:rsidR="00F554F4" w:rsidRDefault="00F554F4" w:rsidP="006E01B7">
      <w:pPr>
        <w:spacing w:after="0" w:line="240" w:lineRule="auto"/>
      </w:pPr>
      <w:r>
        <w:separator/>
      </w:r>
    </w:p>
    <w:p w14:paraId="352657AD" w14:textId="77777777" w:rsidR="00F554F4" w:rsidRDefault="00F554F4"/>
  </w:endnote>
  <w:endnote w:type="continuationSeparator" w:id="0">
    <w:p w14:paraId="2A9A9E42" w14:textId="77777777" w:rsidR="00F554F4" w:rsidRDefault="00F554F4" w:rsidP="006E01B7">
      <w:pPr>
        <w:spacing w:after="0" w:line="240" w:lineRule="auto"/>
      </w:pPr>
      <w:r>
        <w:continuationSeparator/>
      </w:r>
    </w:p>
    <w:p w14:paraId="08B6234B" w14:textId="77777777" w:rsidR="00F554F4" w:rsidRDefault="00F5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71772"/>
      <w:docPartObj>
        <w:docPartGallery w:val="Page Numbers (Bottom of Page)"/>
        <w:docPartUnique/>
      </w:docPartObj>
    </w:sdtPr>
    <w:sdtEndPr>
      <w:rPr>
        <w:noProof/>
      </w:rPr>
    </w:sdtEndPr>
    <w:sdtContent>
      <w:p w14:paraId="47D2540D" w14:textId="61FF640B" w:rsidR="008B412C" w:rsidRDefault="008B412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E7F7B9D" w14:textId="08D7086C" w:rsidR="008B412C" w:rsidRDefault="008B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C825" w14:textId="77777777" w:rsidR="00F554F4" w:rsidRDefault="00F554F4" w:rsidP="006E01B7">
      <w:pPr>
        <w:spacing w:after="0" w:line="240" w:lineRule="auto"/>
      </w:pPr>
      <w:r>
        <w:separator/>
      </w:r>
    </w:p>
    <w:p w14:paraId="65EF0EED" w14:textId="77777777" w:rsidR="00F554F4" w:rsidRDefault="00F554F4"/>
  </w:footnote>
  <w:footnote w:type="continuationSeparator" w:id="0">
    <w:p w14:paraId="26193C00" w14:textId="77777777" w:rsidR="00F554F4" w:rsidRDefault="00F554F4" w:rsidP="006E01B7">
      <w:pPr>
        <w:spacing w:after="0" w:line="240" w:lineRule="auto"/>
      </w:pPr>
      <w:r>
        <w:continuationSeparator/>
      </w:r>
    </w:p>
    <w:p w14:paraId="311FA278" w14:textId="77777777" w:rsidR="00F554F4" w:rsidRDefault="00F554F4"/>
  </w:footnote>
  <w:footnote w:id="1">
    <w:p w14:paraId="54272BE8" w14:textId="35B4BA33" w:rsidR="008B412C" w:rsidRPr="00501B3D" w:rsidRDefault="008B412C" w:rsidP="00501B3D">
      <w:pPr>
        <w:pStyle w:val="FootnoteText"/>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 xml:space="preserve"> Apstiprināta ar Iekšlietu ministrijas 2022. gada 15. augusta rīkojumu Nr. 1-2/1075.</w:t>
      </w:r>
    </w:p>
  </w:footnote>
  <w:footnote w:id="2">
    <w:p w14:paraId="13A68470" w14:textId="13B9BA34" w:rsidR="008E7353" w:rsidRPr="008E7353" w:rsidRDefault="008E7353">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Skaidrojums par 2024. gada izpildi.</w:t>
      </w:r>
    </w:p>
  </w:footnote>
  <w:footnote w:id="3">
    <w:p w14:paraId="5D03FC37" w14:textId="78C3501A" w:rsidR="008E7353" w:rsidRDefault="008E7353">
      <w:pPr>
        <w:pStyle w:val="FootnoteText"/>
      </w:pPr>
      <w:r w:rsidRPr="008E7353">
        <w:rPr>
          <w:rStyle w:val="FootnoteReference"/>
          <w:rFonts w:ascii="Times New Roman" w:hAnsi="Times New Roman" w:cs="Times New Roman"/>
        </w:rPr>
        <w:footnoteRef/>
      </w:r>
      <w:r w:rsidRPr="008E7353">
        <w:rPr>
          <w:rFonts w:ascii="Times New Roman" w:hAnsi="Times New Roman" w:cs="Times New Roman"/>
        </w:rPr>
        <w:t xml:space="preserve"> Rezultatīvā rādītāja prognoze un izpilde 2023. gadā.</w:t>
      </w:r>
    </w:p>
  </w:footnote>
  <w:footnote w:id="4">
    <w:p w14:paraId="24D35D16" w14:textId="2F54E81B" w:rsidR="008E7353" w:rsidRPr="008E7353" w:rsidRDefault="008E7353">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Rezultatīvā rādītāja prognoze un izpilde 2023. gadā.</w:t>
      </w:r>
    </w:p>
  </w:footnote>
  <w:footnote w:id="5">
    <w:p w14:paraId="623376BE" w14:textId="1E13CEB8" w:rsidR="008E7353" w:rsidRPr="008E7353" w:rsidRDefault="008E7353">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Rezultatīvā rādītāja prognoze un izpilde 2023. gadā.</w:t>
      </w:r>
    </w:p>
  </w:footnote>
  <w:footnote w:id="6">
    <w:p w14:paraId="1710FE4D" w14:textId="77EDC18B" w:rsidR="008E7353" w:rsidRDefault="008E7353">
      <w:pPr>
        <w:pStyle w:val="FootnoteText"/>
      </w:pPr>
      <w:r>
        <w:rPr>
          <w:rStyle w:val="FootnoteReference"/>
        </w:rPr>
        <w:footnoteRef/>
      </w:r>
      <w:r>
        <w:t xml:space="preserve"> </w:t>
      </w:r>
      <w:r w:rsidRPr="008E7353">
        <w:rPr>
          <w:rFonts w:ascii="Times New Roman" w:hAnsi="Times New Roman" w:cs="Times New Roman"/>
        </w:rPr>
        <w:t>Rezultatīvā rādītāja prognoze un izpilde 2023. gadā.</w:t>
      </w:r>
    </w:p>
  </w:footnote>
  <w:footnote w:id="7">
    <w:p w14:paraId="2A5B65A3" w14:textId="68FCF9AC" w:rsidR="008E7353" w:rsidRDefault="008E7353">
      <w:pPr>
        <w:pStyle w:val="FootnoteText"/>
      </w:pPr>
      <w:r>
        <w:rPr>
          <w:rStyle w:val="FootnoteReference"/>
        </w:rPr>
        <w:footnoteRef/>
      </w:r>
      <w:r>
        <w:t xml:space="preserve"> </w:t>
      </w:r>
      <w:r w:rsidRPr="008E7353">
        <w:rPr>
          <w:rFonts w:ascii="Times New Roman" w:hAnsi="Times New Roman" w:cs="Times New Roman"/>
        </w:rPr>
        <w:t>Rezultatīvā rādītāja prognoze un izpilde 2023. gadā.</w:t>
      </w:r>
    </w:p>
  </w:footnote>
  <w:footnote w:id="8">
    <w:p w14:paraId="31079847" w14:textId="0D01E4DD" w:rsidR="008E7353" w:rsidRDefault="008E7353">
      <w:pPr>
        <w:pStyle w:val="FootnoteText"/>
      </w:pPr>
      <w:r>
        <w:rPr>
          <w:rStyle w:val="FootnoteReference"/>
        </w:rPr>
        <w:footnoteRef/>
      </w:r>
      <w:r>
        <w:t xml:space="preserve"> </w:t>
      </w:r>
      <w:r w:rsidRPr="008E7353">
        <w:rPr>
          <w:rFonts w:ascii="Times New Roman" w:hAnsi="Times New Roman" w:cs="Times New Roman"/>
        </w:rPr>
        <w:t>Rezultatīvā rādītāja prognoze un izpilde 2023. gadā.</w:t>
      </w:r>
    </w:p>
  </w:footnote>
  <w:footnote w:id="9">
    <w:p w14:paraId="60357916" w14:textId="16D3030D" w:rsidR="008B412C" w:rsidRPr="008E7353" w:rsidRDefault="008B412C">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Apmācības atbilstoši ikgadējam plānam.</w:t>
      </w:r>
    </w:p>
  </w:footnote>
  <w:footnote w:id="10">
    <w:p w14:paraId="70A2DFE6" w14:textId="382B56D7" w:rsidR="008B412C" w:rsidRPr="008E7353" w:rsidRDefault="008B412C">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Apmācības atbilstoši apmācību portfelim. Ar vārdu «apmācību portfelis» tiek saprasts apmācību kopums/modelis, kas konkrētai amata grupai jāapgūst trīs gadu laikā.</w:t>
      </w:r>
    </w:p>
  </w:footnote>
  <w:footnote w:id="11">
    <w:p w14:paraId="7F3D802A" w14:textId="1996AE90" w:rsidR="008E7353" w:rsidRPr="008E7353" w:rsidRDefault="008E7353">
      <w:pPr>
        <w:pStyle w:val="FootnoteText"/>
        <w:rPr>
          <w:rFonts w:ascii="Times New Roman" w:hAnsi="Times New Roman" w:cs="Times New Roman"/>
        </w:rPr>
      </w:pPr>
      <w:r w:rsidRPr="008E7353">
        <w:rPr>
          <w:rStyle w:val="FootnoteReference"/>
          <w:rFonts w:ascii="Times New Roman" w:hAnsi="Times New Roman" w:cs="Times New Roman"/>
        </w:rPr>
        <w:footnoteRef/>
      </w:r>
      <w:r w:rsidRPr="008E7353">
        <w:rPr>
          <w:rFonts w:ascii="Times New Roman" w:hAnsi="Times New Roman" w:cs="Times New Roman"/>
        </w:rPr>
        <w:t xml:space="preserve"> Rezultatīvā rādītāja prognoze un izpilde 2023. gadā.</w:t>
      </w:r>
    </w:p>
  </w:footnote>
  <w:footnote w:id="12">
    <w:p w14:paraId="35355CD3" w14:textId="275BC169" w:rsidR="008E7353" w:rsidRDefault="008E7353">
      <w:pPr>
        <w:pStyle w:val="FootnoteText"/>
      </w:pPr>
      <w:r w:rsidRPr="008E7353">
        <w:rPr>
          <w:rStyle w:val="FootnoteReference"/>
          <w:rFonts w:ascii="Times New Roman" w:hAnsi="Times New Roman" w:cs="Times New Roman"/>
        </w:rPr>
        <w:footnoteRef/>
      </w:r>
      <w:r w:rsidRPr="008E7353">
        <w:rPr>
          <w:rFonts w:ascii="Times New Roman" w:hAnsi="Times New Roman" w:cs="Times New Roman"/>
        </w:rPr>
        <w:t xml:space="preserve"> Rezultatīvā rādītāja prognoze un izpilde 2024. gadā.</w:t>
      </w:r>
    </w:p>
  </w:footnote>
  <w:footnote w:id="13">
    <w:p w14:paraId="5CFE8368" w14:textId="1F15E667" w:rsidR="008B412C" w:rsidRPr="000774CA" w:rsidRDefault="008B412C">
      <w:pPr>
        <w:pStyle w:val="FootnoteText"/>
        <w:rPr>
          <w:rFonts w:ascii="Arial" w:hAnsi="Arial" w:cs="Arial"/>
        </w:rPr>
      </w:pPr>
      <w:r w:rsidRPr="000774CA">
        <w:rPr>
          <w:rStyle w:val="FootnoteReference"/>
          <w:rFonts w:ascii="Arial" w:hAnsi="Arial" w:cs="Arial"/>
        </w:rPr>
        <w:footnoteRef/>
      </w:r>
      <w:r w:rsidRPr="000774CA">
        <w:rPr>
          <w:rFonts w:ascii="Arial" w:hAnsi="Arial" w:cs="Arial"/>
        </w:rPr>
        <w:t xml:space="preserve"> Izstrādāt  un apstiprināt iekšējo normatīvo aktu līdz 2026. gadam.(Kā uzdevums iekļaujams Iekšlietu ministrijas 2025. gada Darba plānā)</w:t>
      </w:r>
      <w:r>
        <w:rPr>
          <w:rFonts w:ascii="Arial" w:hAnsi="Arial" w:cs="Arial"/>
        </w:rPr>
        <w:t>.</w:t>
      </w:r>
    </w:p>
  </w:footnote>
  <w:footnote w:id="14">
    <w:p w14:paraId="7EA89555" w14:textId="2BE2FA4A" w:rsidR="008B412C" w:rsidRPr="001D697F" w:rsidRDefault="008B412C">
      <w:pPr>
        <w:pStyle w:val="FootnoteText"/>
        <w:rPr>
          <w:rFonts w:ascii="Times New Roman" w:hAnsi="Times New Roman" w:cs="Times New Roman"/>
        </w:rPr>
      </w:pPr>
      <w:r w:rsidRPr="000774CA">
        <w:rPr>
          <w:rStyle w:val="FootnoteReference"/>
          <w:rFonts w:ascii="Arial" w:hAnsi="Arial" w:cs="Arial"/>
        </w:rPr>
        <w:footnoteRef/>
      </w:r>
      <w:r w:rsidRPr="000774CA">
        <w:rPr>
          <w:rFonts w:ascii="Arial" w:hAnsi="Arial" w:cs="Arial"/>
        </w:rPr>
        <w:t xml:space="preserve"> Ar vārdu “sistēma” tiek saprasts – izveidotu procesu, mācību saturu un tehnisko risinājumu kopums.</w:t>
      </w:r>
    </w:p>
  </w:footnote>
  <w:footnote w:id="15">
    <w:p w14:paraId="51BD8308" w14:textId="16D0AAC8" w:rsidR="008B412C" w:rsidRPr="000774CA" w:rsidRDefault="008B412C">
      <w:pPr>
        <w:pStyle w:val="FootnoteText"/>
        <w:rPr>
          <w:rFonts w:ascii="Arial" w:hAnsi="Arial" w:cs="Arial"/>
        </w:rPr>
      </w:pPr>
      <w:r w:rsidRPr="000774CA">
        <w:rPr>
          <w:rStyle w:val="FootnoteReference"/>
          <w:rFonts w:ascii="Arial" w:hAnsi="Arial" w:cs="Arial"/>
        </w:rPr>
        <w:footnoteRef/>
      </w:r>
      <w:r w:rsidRPr="000774CA">
        <w:rPr>
          <w:rFonts w:ascii="Arial" w:hAnsi="Arial" w:cs="Arial"/>
        </w:rPr>
        <w:t xml:space="preserve"> Nodrošināta vismaz viena visa personāla apmācība, vismaz viena vidējā līmeņa vadītāju personāla vadīšanas prasmju apmācība, kā arī vienu reizi gadā 25% no personāla apmācības atbilstoši darba pienākumu saturam.</w:t>
      </w:r>
    </w:p>
  </w:footnote>
  <w:footnote w:id="16">
    <w:p w14:paraId="3E4FB9CB" w14:textId="777B0F29" w:rsidR="008B412C" w:rsidRPr="00501B3D" w:rsidRDefault="008B412C">
      <w:pPr>
        <w:pStyle w:val="FootnoteText"/>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 xml:space="preserve"> Aizpildīto amata vietu skaits uz 01.01.2022.</w:t>
      </w:r>
    </w:p>
  </w:footnote>
  <w:footnote w:id="17">
    <w:p w14:paraId="03F2C4FC" w14:textId="4CB6389A" w:rsidR="008B412C" w:rsidRPr="00501B3D" w:rsidRDefault="008B412C" w:rsidP="003A202E">
      <w:pPr>
        <w:pStyle w:val="FootnoteText"/>
        <w:jc w:val="both"/>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 xml:space="preserve"> Ministru kabineta 2017. gada  7. novembra noteikumu Nr. 662 “Noteikumi par valsts tiešās pārvaldes iestāžu un citu valsts un pašvaldību institūciju amatpersonu (darbinieku) atlīdzības un personu uzskaites sistēmu”</w:t>
      </w:r>
      <w:hyperlink r:id="rId1" w:tooltip="Atvērt citā formātā" w:history="1">
        <w:r w:rsidRPr="00501B3D">
          <w:rPr>
            <w:rFonts w:ascii="Times New Roman" w:hAnsi="Times New Roman" w:cs="Times New Roman"/>
          </w:rPr>
          <w:t>15. pielikums</w:t>
        </w:r>
      </w:hyperlink>
      <w:r w:rsidRPr="00501B3D">
        <w:rPr>
          <w:rFonts w:ascii="Times New Roman" w:hAnsi="Times New Roman" w:cs="Times New Roman"/>
        </w:rPr>
        <w:t xml:space="preserve"> “Pārskats par amatpersonu (darbinieku) atlīdzību” </w:t>
      </w:r>
      <w:bookmarkStart w:id="14" w:name="piel-638007"/>
      <w:bookmarkStart w:id="15" w:name="638009"/>
      <w:bookmarkStart w:id="16" w:name="n-638009"/>
      <w:bookmarkEnd w:id="14"/>
      <w:bookmarkEnd w:id="15"/>
      <w:bookmarkEnd w:id="16"/>
    </w:p>
  </w:footnote>
  <w:footnote w:id="18">
    <w:p w14:paraId="6DDD172A" w14:textId="406C71E8" w:rsidR="008B412C" w:rsidRPr="00501B3D" w:rsidRDefault="008B412C">
      <w:pPr>
        <w:pStyle w:val="FootnoteText"/>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https://data.stat.gov.lv/pxweb/lv/OSP_PUB/START__EMP__DS__DSV/DSV020c/table/tableViewLayout1/: 2023. gadā vidējā alga pirms nodokļu nomaksas – 1 537eiro mēnesī.</w:t>
      </w:r>
    </w:p>
  </w:footnote>
  <w:footnote w:id="19">
    <w:p w14:paraId="47EB2040" w14:textId="56ABF415" w:rsidR="008B412C" w:rsidRPr="00501B3D" w:rsidRDefault="008B412C" w:rsidP="00280087">
      <w:pPr>
        <w:pStyle w:val="FootnoteText"/>
        <w:jc w:val="both"/>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 xml:space="preserve"> Fontes vadības konsultācijas, 2017. Salīdzinošais pētījums par atalgojuma apmēru. Pieejams: https://www.mk.gov.lv/sites/mk/files/media_file/salidzinosais_petijums_par_atalgojuma_apmeru1.pdf</w:t>
      </w:r>
    </w:p>
  </w:footnote>
  <w:footnote w:id="20">
    <w:p w14:paraId="1BF6F06A" w14:textId="694D85C6" w:rsidR="008B412C" w:rsidRPr="003E5E39" w:rsidRDefault="008B412C">
      <w:pPr>
        <w:pStyle w:val="FootnoteText"/>
        <w:rPr>
          <w:rFonts w:ascii="Arial" w:hAnsi="Arial" w:cs="Arial"/>
        </w:rPr>
      </w:pPr>
      <w:r w:rsidRPr="00501B3D">
        <w:rPr>
          <w:rStyle w:val="FootnoteReference"/>
          <w:rFonts w:ascii="Times New Roman" w:hAnsi="Times New Roman" w:cs="Times New Roman"/>
        </w:rPr>
        <w:footnoteRef/>
      </w:r>
      <w:r w:rsidRPr="00501B3D">
        <w:rPr>
          <w:rFonts w:ascii="Times New Roman" w:hAnsi="Times New Roman" w:cs="Times New Roman"/>
        </w:rPr>
        <w:t xml:space="preserve"> Atbilstoši 2022. gada sākumā veiktajai iekšlietu nozarē nodarbināto aptaujai.</w:t>
      </w:r>
    </w:p>
  </w:footnote>
  <w:footnote w:id="21">
    <w:p w14:paraId="2F8AFF05" w14:textId="77777777" w:rsidR="008B412C" w:rsidRPr="00D37A65" w:rsidRDefault="008B412C" w:rsidP="000607AF">
      <w:pPr>
        <w:pStyle w:val="FootnoteText"/>
        <w:rPr>
          <w:rFonts w:ascii="Arial" w:hAnsi="Arial" w:cs="Arial"/>
        </w:rPr>
      </w:pPr>
      <w:r w:rsidRPr="00D37A65">
        <w:rPr>
          <w:rStyle w:val="FootnoteReference"/>
          <w:rFonts w:ascii="Arial" w:hAnsi="Arial" w:cs="Arial"/>
        </w:rPr>
        <w:footnoteRef/>
      </w:r>
      <w:r w:rsidRPr="00D37A65">
        <w:rPr>
          <w:rFonts w:ascii="Arial" w:hAnsi="Arial" w:cs="Arial"/>
        </w:rPr>
        <w:t xml:space="preserve"> Detalizētu informāciju skatīt Ministru kabineta 2020.gada 3.novembra sēdes darba kārtībā (prot.Nr.66, 24.§)</w:t>
      </w:r>
    </w:p>
  </w:footnote>
  <w:footnote w:id="22">
    <w:p w14:paraId="0266304C" w14:textId="77777777" w:rsidR="008B412C" w:rsidRPr="00596F43" w:rsidRDefault="008B412C" w:rsidP="000607AF">
      <w:pPr>
        <w:pStyle w:val="FootnoteText"/>
        <w:rPr>
          <w:rFonts w:ascii="Times New Roman" w:hAnsi="Times New Roman" w:cs="Times New Roman"/>
        </w:rPr>
      </w:pPr>
      <w:r w:rsidRPr="00D37A65">
        <w:rPr>
          <w:rStyle w:val="FootnoteReference"/>
          <w:rFonts w:ascii="Arial" w:hAnsi="Arial" w:cs="Arial"/>
        </w:rPr>
        <w:footnoteRef/>
      </w:r>
      <w:r w:rsidRPr="00D37A65">
        <w:rPr>
          <w:rFonts w:ascii="Arial" w:hAnsi="Arial" w:cs="Arial"/>
        </w:rPr>
        <w:t xml:space="preserve"> Iekšlietu ministrijas 2021. gada 24. maija rīkojumu Nr. 1-12/460</w:t>
      </w:r>
    </w:p>
  </w:footnote>
  <w:footnote w:id="23">
    <w:p w14:paraId="2557800B" w14:textId="2837B04A" w:rsidR="008B412C" w:rsidRPr="00FE44C4" w:rsidRDefault="008B412C" w:rsidP="000607AF">
      <w:pPr>
        <w:pStyle w:val="FootnoteText"/>
        <w:rPr>
          <w:rFonts w:ascii="Arial" w:hAnsi="Arial" w:cs="Arial"/>
        </w:rPr>
      </w:pPr>
      <w:r w:rsidRPr="00FE44C4">
        <w:rPr>
          <w:rStyle w:val="FootnoteReference"/>
          <w:rFonts w:ascii="Arial" w:hAnsi="Arial" w:cs="Arial"/>
        </w:rPr>
        <w:footnoteRef/>
      </w:r>
      <w:r w:rsidRPr="00FE44C4">
        <w:rPr>
          <w:rFonts w:ascii="Arial" w:hAnsi="Arial" w:cs="Arial"/>
        </w:rPr>
        <w:t xml:space="preserve"> Iekšlietu ministrijas 2021. gada 2. augusta rīkojums Nr. 1-12/727</w:t>
      </w:r>
      <w:r>
        <w:rPr>
          <w:rFonts w:ascii="Arial" w:hAnsi="Arial" w:cs="Arial"/>
        </w:rPr>
        <w:t>.</w:t>
      </w:r>
    </w:p>
  </w:footnote>
  <w:footnote w:id="24">
    <w:p w14:paraId="28D7F4D3" w14:textId="77777777" w:rsidR="008B412C" w:rsidRDefault="008B412C" w:rsidP="000607AF">
      <w:pPr>
        <w:pStyle w:val="FootnoteText"/>
        <w:jc w:val="both"/>
      </w:pPr>
      <w:r w:rsidRPr="00FE44C4">
        <w:rPr>
          <w:rStyle w:val="FootnoteReference"/>
          <w:rFonts w:ascii="Arial" w:hAnsi="Arial" w:cs="Arial"/>
        </w:rPr>
        <w:footnoteRef/>
      </w:r>
      <w:r w:rsidRPr="00FE44C4">
        <w:rPr>
          <w:rFonts w:ascii="Arial" w:hAnsi="Arial" w:cs="Arial"/>
        </w:rPr>
        <w:t xml:space="preserve"> Par trīs iekšlietu nozares procesiem - (1) pirmstiesas izmeklēšana, (2) ugunsdrošības uzraudzība un (3) licencēšana un atļauju izsniegšana ieroču īpašniekiem un pircējiem.</w:t>
      </w:r>
    </w:p>
  </w:footnote>
  <w:footnote w:id="25">
    <w:p w14:paraId="4E69CD27" w14:textId="5475E2D6" w:rsidR="008B412C" w:rsidRPr="00501B3D" w:rsidRDefault="008B412C" w:rsidP="00501B3D">
      <w:pPr>
        <w:pStyle w:val="FootnoteText"/>
        <w:rPr>
          <w:rFonts w:ascii="Times New Roman" w:hAnsi="Times New Roman" w:cs="Times New Roman"/>
        </w:rPr>
      </w:pPr>
      <w:r w:rsidRPr="00501B3D">
        <w:rPr>
          <w:rStyle w:val="FootnoteReference"/>
          <w:rFonts w:ascii="Times New Roman" w:hAnsi="Times New Roman" w:cs="Times New Roman"/>
        </w:rPr>
        <w:footnoteRef/>
      </w:r>
      <w:r w:rsidRPr="00501B3D">
        <w:rPr>
          <w:rFonts w:ascii="Times New Roman" w:hAnsi="Times New Roman" w:cs="Times New Roman"/>
        </w:rPr>
        <w:t xml:space="preserve"> Iekšlietu nozarē nodarbināto aptaujas rezultāti 2023. gadā.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9B2E" w14:textId="315C63C6" w:rsidR="008B412C" w:rsidRDefault="008B412C" w:rsidP="00D60A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6BD"/>
    <w:multiLevelType w:val="hybridMultilevel"/>
    <w:tmpl w:val="FDD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667630"/>
    <w:multiLevelType w:val="hybridMultilevel"/>
    <w:tmpl w:val="AE1A8A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566FE8"/>
    <w:multiLevelType w:val="hybridMultilevel"/>
    <w:tmpl w:val="B42CA770"/>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 w15:restartNumberingAfterBreak="0">
    <w:nsid w:val="1EFC60EB"/>
    <w:multiLevelType w:val="hybridMultilevel"/>
    <w:tmpl w:val="B428ED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DC2C60"/>
    <w:multiLevelType w:val="hybridMultilevel"/>
    <w:tmpl w:val="32D45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E23B4A"/>
    <w:multiLevelType w:val="hybridMultilevel"/>
    <w:tmpl w:val="F6002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A15817"/>
    <w:multiLevelType w:val="hybridMultilevel"/>
    <w:tmpl w:val="4642D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8D6D20"/>
    <w:multiLevelType w:val="hybridMultilevel"/>
    <w:tmpl w:val="2D00D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0F1CB9"/>
    <w:multiLevelType w:val="hybridMultilevel"/>
    <w:tmpl w:val="CDAA8D5C"/>
    <w:lvl w:ilvl="0" w:tplc="B906AF1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03545A6"/>
    <w:multiLevelType w:val="hybridMultilevel"/>
    <w:tmpl w:val="3356C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063228"/>
    <w:multiLevelType w:val="hybridMultilevel"/>
    <w:tmpl w:val="36BE7810"/>
    <w:lvl w:ilvl="0" w:tplc="2B98CC1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EFA55DE"/>
    <w:multiLevelType w:val="hybridMultilevel"/>
    <w:tmpl w:val="D9181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1570A2"/>
    <w:multiLevelType w:val="hybridMultilevel"/>
    <w:tmpl w:val="B2363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6C51A2"/>
    <w:multiLevelType w:val="hybridMultilevel"/>
    <w:tmpl w:val="A8181DD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FF7E1C"/>
    <w:multiLevelType w:val="hybridMultilevel"/>
    <w:tmpl w:val="80FCA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D7E531B"/>
    <w:multiLevelType w:val="hybridMultilevel"/>
    <w:tmpl w:val="EA182B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EA364B"/>
    <w:multiLevelType w:val="hybridMultilevel"/>
    <w:tmpl w:val="53BEF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183854"/>
    <w:multiLevelType w:val="multilevel"/>
    <w:tmpl w:val="95DCB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1F3864" w:themeColor="accent5"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F27AD9"/>
    <w:multiLevelType w:val="hybridMultilevel"/>
    <w:tmpl w:val="6D92F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7E7E1D"/>
    <w:multiLevelType w:val="hybridMultilevel"/>
    <w:tmpl w:val="033681A6"/>
    <w:lvl w:ilvl="0" w:tplc="7C50A358">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5"/>
  </w:num>
  <w:num w:numId="4">
    <w:abstractNumId w:val="15"/>
  </w:num>
  <w:num w:numId="5">
    <w:abstractNumId w:val="3"/>
  </w:num>
  <w:num w:numId="6">
    <w:abstractNumId w:val="18"/>
  </w:num>
  <w:num w:numId="7">
    <w:abstractNumId w:val="12"/>
  </w:num>
  <w:num w:numId="8">
    <w:abstractNumId w:val="6"/>
  </w:num>
  <w:num w:numId="9">
    <w:abstractNumId w:val="11"/>
  </w:num>
  <w:num w:numId="10">
    <w:abstractNumId w:val="14"/>
  </w:num>
  <w:num w:numId="11">
    <w:abstractNumId w:val="4"/>
  </w:num>
  <w:num w:numId="12">
    <w:abstractNumId w:val="10"/>
  </w:num>
  <w:num w:numId="13">
    <w:abstractNumId w:val="7"/>
  </w:num>
  <w:num w:numId="14">
    <w:abstractNumId w:val="8"/>
  </w:num>
  <w:num w:numId="15">
    <w:abstractNumId w:val="19"/>
  </w:num>
  <w:num w:numId="16">
    <w:abstractNumId w:val="17"/>
  </w:num>
  <w:num w:numId="17">
    <w:abstractNumId w:val="13"/>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23"/>
    <w:rsid w:val="00004B39"/>
    <w:rsid w:val="00015912"/>
    <w:rsid w:val="00022A83"/>
    <w:rsid w:val="00024DBD"/>
    <w:rsid w:val="0002532F"/>
    <w:rsid w:val="00026219"/>
    <w:rsid w:val="0002692D"/>
    <w:rsid w:val="0003072B"/>
    <w:rsid w:val="00032B19"/>
    <w:rsid w:val="00037703"/>
    <w:rsid w:val="00042794"/>
    <w:rsid w:val="00044832"/>
    <w:rsid w:val="00046DFD"/>
    <w:rsid w:val="000512DD"/>
    <w:rsid w:val="000531B3"/>
    <w:rsid w:val="00053FA0"/>
    <w:rsid w:val="000607AF"/>
    <w:rsid w:val="0007662F"/>
    <w:rsid w:val="000774CA"/>
    <w:rsid w:val="0009152D"/>
    <w:rsid w:val="000B2295"/>
    <w:rsid w:val="000C4BCB"/>
    <w:rsid w:val="000F36CB"/>
    <w:rsid w:val="000F69E3"/>
    <w:rsid w:val="00100F82"/>
    <w:rsid w:val="00110837"/>
    <w:rsid w:val="00124A8D"/>
    <w:rsid w:val="001316D8"/>
    <w:rsid w:val="00141DE0"/>
    <w:rsid w:val="0014440C"/>
    <w:rsid w:val="00145873"/>
    <w:rsid w:val="00152CD9"/>
    <w:rsid w:val="00162194"/>
    <w:rsid w:val="00166A68"/>
    <w:rsid w:val="00172528"/>
    <w:rsid w:val="001809DB"/>
    <w:rsid w:val="00183A56"/>
    <w:rsid w:val="00191C9A"/>
    <w:rsid w:val="001C46DF"/>
    <w:rsid w:val="001D0B50"/>
    <w:rsid w:val="001D697F"/>
    <w:rsid w:val="001F56C9"/>
    <w:rsid w:val="00204C1D"/>
    <w:rsid w:val="00205752"/>
    <w:rsid w:val="00206D57"/>
    <w:rsid w:val="00221716"/>
    <w:rsid w:val="00231F56"/>
    <w:rsid w:val="00251C72"/>
    <w:rsid w:val="0025304A"/>
    <w:rsid w:val="00253119"/>
    <w:rsid w:val="0025418B"/>
    <w:rsid w:val="00263D45"/>
    <w:rsid w:val="00280087"/>
    <w:rsid w:val="00281BAD"/>
    <w:rsid w:val="0029657A"/>
    <w:rsid w:val="002D7E40"/>
    <w:rsid w:val="002E405A"/>
    <w:rsid w:val="002E4FA9"/>
    <w:rsid w:val="002F0A4C"/>
    <w:rsid w:val="002F24DF"/>
    <w:rsid w:val="002F4329"/>
    <w:rsid w:val="00302066"/>
    <w:rsid w:val="00307354"/>
    <w:rsid w:val="00320214"/>
    <w:rsid w:val="0033164F"/>
    <w:rsid w:val="00332F60"/>
    <w:rsid w:val="00344B9E"/>
    <w:rsid w:val="003566A5"/>
    <w:rsid w:val="00372A5D"/>
    <w:rsid w:val="00380505"/>
    <w:rsid w:val="003940DC"/>
    <w:rsid w:val="00396795"/>
    <w:rsid w:val="003A202E"/>
    <w:rsid w:val="003A4235"/>
    <w:rsid w:val="003D2C95"/>
    <w:rsid w:val="003D3EFE"/>
    <w:rsid w:val="003D749A"/>
    <w:rsid w:val="003E5E39"/>
    <w:rsid w:val="003F39E7"/>
    <w:rsid w:val="003F3E58"/>
    <w:rsid w:val="003F767E"/>
    <w:rsid w:val="00405BDA"/>
    <w:rsid w:val="00405FCE"/>
    <w:rsid w:val="00413A33"/>
    <w:rsid w:val="0042672A"/>
    <w:rsid w:val="00426849"/>
    <w:rsid w:val="00426AB7"/>
    <w:rsid w:val="00441C9F"/>
    <w:rsid w:val="00462218"/>
    <w:rsid w:val="004768C2"/>
    <w:rsid w:val="00484474"/>
    <w:rsid w:val="00495809"/>
    <w:rsid w:val="004E0001"/>
    <w:rsid w:val="004E44EF"/>
    <w:rsid w:val="004E5393"/>
    <w:rsid w:val="004F15F7"/>
    <w:rsid w:val="004F46B0"/>
    <w:rsid w:val="004F6086"/>
    <w:rsid w:val="004F7900"/>
    <w:rsid w:val="00501B3D"/>
    <w:rsid w:val="0050239A"/>
    <w:rsid w:val="00523640"/>
    <w:rsid w:val="005367EF"/>
    <w:rsid w:val="00537AE0"/>
    <w:rsid w:val="005404B4"/>
    <w:rsid w:val="00541BA2"/>
    <w:rsid w:val="005436EA"/>
    <w:rsid w:val="00547CF0"/>
    <w:rsid w:val="005605B1"/>
    <w:rsid w:val="00561B41"/>
    <w:rsid w:val="00563D3C"/>
    <w:rsid w:val="00564C2A"/>
    <w:rsid w:val="00566AC0"/>
    <w:rsid w:val="00570C92"/>
    <w:rsid w:val="005717DD"/>
    <w:rsid w:val="005728F8"/>
    <w:rsid w:val="005843E2"/>
    <w:rsid w:val="00587322"/>
    <w:rsid w:val="00587B69"/>
    <w:rsid w:val="00587ECA"/>
    <w:rsid w:val="005928C2"/>
    <w:rsid w:val="00596F43"/>
    <w:rsid w:val="005A4FE8"/>
    <w:rsid w:val="005B55D0"/>
    <w:rsid w:val="005C586E"/>
    <w:rsid w:val="005C7863"/>
    <w:rsid w:val="005D0558"/>
    <w:rsid w:val="005D4F53"/>
    <w:rsid w:val="005D6760"/>
    <w:rsid w:val="005D7289"/>
    <w:rsid w:val="005E2D36"/>
    <w:rsid w:val="005F1E70"/>
    <w:rsid w:val="0060406D"/>
    <w:rsid w:val="0060448C"/>
    <w:rsid w:val="00615F0D"/>
    <w:rsid w:val="006165BA"/>
    <w:rsid w:val="00617703"/>
    <w:rsid w:val="00620AA0"/>
    <w:rsid w:val="006242EA"/>
    <w:rsid w:val="00627231"/>
    <w:rsid w:val="00630C19"/>
    <w:rsid w:val="00631F10"/>
    <w:rsid w:val="00645E29"/>
    <w:rsid w:val="0065455D"/>
    <w:rsid w:val="00654600"/>
    <w:rsid w:val="00677929"/>
    <w:rsid w:val="006852E8"/>
    <w:rsid w:val="00685FE5"/>
    <w:rsid w:val="00693AA6"/>
    <w:rsid w:val="006A11EF"/>
    <w:rsid w:val="006B192E"/>
    <w:rsid w:val="006D4409"/>
    <w:rsid w:val="006D5123"/>
    <w:rsid w:val="006D6D94"/>
    <w:rsid w:val="006E01B7"/>
    <w:rsid w:val="006E14A1"/>
    <w:rsid w:val="006F1AA6"/>
    <w:rsid w:val="0070434B"/>
    <w:rsid w:val="0072574A"/>
    <w:rsid w:val="0073172A"/>
    <w:rsid w:val="00736998"/>
    <w:rsid w:val="00737859"/>
    <w:rsid w:val="00742CBA"/>
    <w:rsid w:val="00744D03"/>
    <w:rsid w:val="00750989"/>
    <w:rsid w:val="007534C7"/>
    <w:rsid w:val="00755852"/>
    <w:rsid w:val="007568E7"/>
    <w:rsid w:val="00756BA0"/>
    <w:rsid w:val="007607EE"/>
    <w:rsid w:val="0076284E"/>
    <w:rsid w:val="0076305A"/>
    <w:rsid w:val="00774D29"/>
    <w:rsid w:val="00777DBC"/>
    <w:rsid w:val="007A16D3"/>
    <w:rsid w:val="007A755D"/>
    <w:rsid w:val="007B171A"/>
    <w:rsid w:val="007B21C0"/>
    <w:rsid w:val="007C2E59"/>
    <w:rsid w:val="007C5172"/>
    <w:rsid w:val="007D53AD"/>
    <w:rsid w:val="007E3E00"/>
    <w:rsid w:val="007F3600"/>
    <w:rsid w:val="008049CE"/>
    <w:rsid w:val="0081031E"/>
    <w:rsid w:val="00817C3F"/>
    <w:rsid w:val="00823654"/>
    <w:rsid w:val="00835CFE"/>
    <w:rsid w:val="00837110"/>
    <w:rsid w:val="00846042"/>
    <w:rsid w:val="00850882"/>
    <w:rsid w:val="00850C6D"/>
    <w:rsid w:val="00857A43"/>
    <w:rsid w:val="00870CC8"/>
    <w:rsid w:val="00877D03"/>
    <w:rsid w:val="00896721"/>
    <w:rsid w:val="008A573E"/>
    <w:rsid w:val="008B412C"/>
    <w:rsid w:val="008B620B"/>
    <w:rsid w:val="008D6133"/>
    <w:rsid w:val="008E3038"/>
    <w:rsid w:val="008E7353"/>
    <w:rsid w:val="008F2EE9"/>
    <w:rsid w:val="00900473"/>
    <w:rsid w:val="00903312"/>
    <w:rsid w:val="00903B90"/>
    <w:rsid w:val="00907E39"/>
    <w:rsid w:val="009139CF"/>
    <w:rsid w:val="009164B7"/>
    <w:rsid w:val="00917DFF"/>
    <w:rsid w:val="00925E22"/>
    <w:rsid w:val="00936CC4"/>
    <w:rsid w:val="009425A1"/>
    <w:rsid w:val="009455C9"/>
    <w:rsid w:val="0095092C"/>
    <w:rsid w:val="0095488D"/>
    <w:rsid w:val="0097223C"/>
    <w:rsid w:val="00985756"/>
    <w:rsid w:val="0098722F"/>
    <w:rsid w:val="00991AAC"/>
    <w:rsid w:val="00992E40"/>
    <w:rsid w:val="00994EB8"/>
    <w:rsid w:val="009A394B"/>
    <w:rsid w:val="009A7495"/>
    <w:rsid w:val="009B1EE5"/>
    <w:rsid w:val="009C047F"/>
    <w:rsid w:val="009C2A6E"/>
    <w:rsid w:val="009C314B"/>
    <w:rsid w:val="009D17BF"/>
    <w:rsid w:val="009D41D8"/>
    <w:rsid w:val="009D56F4"/>
    <w:rsid w:val="009E2875"/>
    <w:rsid w:val="009E59F8"/>
    <w:rsid w:val="00A22146"/>
    <w:rsid w:val="00A44EAB"/>
    <w:rsid w:val="00A472FE"/>
    <w:rsid w:val="00A535E6"/>
    <w:rsid w:val="00A61119"/>
    <w:rsid w:val="00A63102"/>
    <w:rsid w:val="00A7068D"/>
    <w:rsid w:val="00A831DB"/>
    <w:rsid w:val="00A84EFB"/>
    <w:rsid w:val="00A913C7"/>
    <w:rsid w:val="00AA32E5"/>
    <w:rsid w:val="00AA3598"/>
    <w:rsid w:val="00AA7310"/>
    <w:rsid w:val="00AB041C"/>
    <w:rsid w:val="00AB2142"/>
    <w:rsid w:val="00AB469C"/>
    <w:rsid w:val="00AB6F23"/>
    <w:rsid w:val="00AC0A44"/>
    <w:rsid w:val="00AC2725"/>
    <w:rsid w:val="00AC77C3"/>
    <w:rsid w:val="00AE0B0B"/>
    <w:rsid w:val="00AE1FE9"/>
    <w:rsid w:val="00AF40FB"/>
    <w:rsid w:val="00AF40FF"/>
    <w:rsid w:val="00AF5A02"/>
    <w:rsid w:val="00AF5E9C"/>
    <w:rsid w:val="00B07CD1"/>
    <w:rsid w:val="00B36B0F"/>
    <w:rsid w:val="00B36DF1"/>
    <w:rsid w:val="00B401A4"/>
    <w:rsid w:val="00B501C6"/>
    <w:rsid w:val="00B539FA"/>
    <w:rsid w:val="00B5560F"/>
    <w:rsid w:val="00B61BA5"/>
    <w:rsid w:val="00B67C05"/>
    <w:rsid w:val="00B7453A"/>
    <w:rsid w:val="00B74DC9"/>
    <w:rsid w:val="00B83289"/>
    <w:rsid w:val="00B86C8F"/>
    <w:rsid w:val="00B91F06"/>
    <w:rsid w:val="00B96AF8"/>
    <w:rsid w:val="00BB3858"/>
    <w:rsid w:val="00BB476E"/>
    <w:rsid w:val="00BC62CF"/>
    <w:rsid w:val="00BD0BC5"/>
    <w:rsid w:val="00BD13AE"/>
    <w:rsid w:val="00BE0D9B"/>
    <w:rsid w:val="00BF48BA"/>
    <w:rsid w:val="00C0177C"/>
    <w:rsid w:val="00C1619B"/>
    <w:rsid w:val="00C16C25"/>
    <w:rsid w:val="00C315EF"/>
    <w:rsid w:val="00C3249D"/>
    <w:rsid w:val="00C32896"/>
    <w:rsid w:val="00C40493"/>
    <w:rsid w:val="00C40933"/>
    <w:rsid w:val="00C41CDC"/>
    <w:rsid w:val="00C437EA"/>
    <w:rsid w:val="00C45F34"/>
    <w:rsid w:val="00C52171"/>
    <w:rsid w:val="00C60345"/>
    <w:rsid w:val="00C7303D"/>
    <w:rsid w:val="00C76BC4"/>
    <w:rsid w:val="00C846BB"/>
    <w:rsid w:val="00C91AB0"/>
    <w:rsid w:val="00C94108"/>
    <w:rsid w:val="00C9532B"/>
    <w:rsid w:val="00CA6295"/>
    <w:rsid w:val="00CB36CE"/>
    <w:rsid w:val="00CB61DB"/>
    <w:rsid w:val="00CC7C73"/>
    <w:rsid w:val="00CD0A3F"/>
    <w:rsid w:val="00CD4078"/>
    <w:rsid w:val="00D00B40"/>
    <w:rsid w:val="00D11A93"/>
    <w:rsid w:val="00D14DBC"/>
    <w:rsid w:val="00D334BE"/>
    <w:rsid w:val="00D3467E"/>
    <w:rsid w:val="00D37A65"/>
    <w:rsid w:val="00D45481"/>
    <w:rsid w:val="00D503CB"/>
    <w:rsid w:val="00D60A77"/>
    <w:rsid w:val="00D62381"/>
    <w:rsid w:val="00D6512A"/>
    <w:rsid w:val="00D76478"/>
    <w:rsid w:val="00D80E1C"/>
    <w:rsid w:val="00D8670E"/>
    <w:rsid w:val="00D90A79"/>
    <w:rsid w:val="00D95D07"/>
    <w:rsid w:val="00DA0BC5"/>
    <w:rsid w:val="00DA4AE8"/>
    <w:rsid w:val="00DB0D78"/>
    <w:rsid w:val="00DB3DD5"/>
    <w:rsid w:val="00DE5FB4"/>
    <w:rsid w:val="00DF777D"/>
    <w:rsid w:val="00E10BA2"/>
    <w:rsid w:val="00E1151C"/>
    <w:rsid w:val="00E254F8"/>
    <w:rsid w:val="00E326B1"/>
    <w:rsid w:val="00E33868"/>
    <w:rsid w:val="00E4784E"/>
    <w:rsid w:val="00E5085A"/>
    <w:rsid w:val="00E50CC0"/>
    <w:rsid w:val="00E51C97"/>
    <w:rsid w:val="00E76CAC"/>
    <w:rsid w:val="00E82648"/>
    <w:rsid w:val="00E87CE1"/>
    <w:rsid w:val="00E91FE5"/>
    <w:rsid w:val="00E9503B"/>
    <w:rsid w:val="00EA4C29"/>
    <w:rsid w:val="00EA5608"/>
    <w:rsid w:val="00EA5A38"/>
    <w:rsid w:val="00EA5D1B"/>
    <w:rsid w:val="00EB3031"/>
    <w:rsid w:val="00EC20BF"/>
    <w:rsid w:val="00ED5950"/>
    <w:rsid w:val="00ED627D"/>
    <w:rsid w:val="00EF5328"/>
    <w:rsid w:val="00F069B6"/>
    <w:rsid w:val="00F1116A"/>
    <w:rsid w:val="00F1772D"/>
    <w:rsid w:val="00F215BA"/>
    <w:rsid w:val="00F23EF8"/>
    <w:rsid w:val="00F27CD2"/>
    <w:rsid w:val="00F32FA7"/>
    <w:rsid w:val="00F35CF4"/>
    <w:rsid w:val="00F43A0A"/>
    <w:rsid w:val="00F4763B"/>
    <w:rsid w:val="00F50498"/>
    <w:rsid w:val="00F554F4"/>
    <w:rsid w:val="00F57E40"/>
    <w:rsid w:val="00F63862"/>
    <w:rsid w:val="00F72473"/>
    <w:rsid w:val="00F7691B"/>
    <w:rsid w:val="00F80075"/>
    <w:rsid w:val="00F845BC"/>
    <w:rsid w:val="00F8711F"/>
    <w:rsid w:val="00F87B51"/>
    <w:rsid w:val="00F92620"/>
    <w:rsid w:val="00F96407"/>
    <w:rsid w:val="00F96FEE"/>
    <w:rsid w:val="00FA4920"/>
    <w:rsid w:val="00FB6675"/>
    <w:rsid w:val="00FC48F3"/>
    <w:rsid w:val="00FD2DB5"/>
    <w:rsid w:val="00FD3D38"/>
    <w:rsid w:val="00FE4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3F6A"/>
  <w15:chartTrackingRefBased/>
  <w15:docId w15:val="{C2BD546C-25EA-48D8-B8AE-75EE61BB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146"/>
    <w:pPr>
      <w:spacing w:after="120"/>
      <w:jc w:val="both"/>
      <w:outlineLvl w:val="0"/>
    </w:pPr>
    <w:rPr>
      <w:rFonts w:ascii="Times New Roman" w:hAnsi="Times New Roman" w:cs="Times New Roman"/>
      <w:b/>
      <w:sz w:val="28"/>
    </w:rPr>
  </w:style>
  <w:style w:type="paragraph" w:styleId="Heading2">
    <w:name w:val="heading 2"/>
    <w:basedOn w:val="Normal"/>
    <w:next w:val="Normal"/>
    <w:link w:val="Heading2Char"/>
    <w:uiPriority w:val="9"/>
    <w:semiHidden/>
    <w:unhideWhenUsed/>
    <w:qFormat/>
    <w:rsid w:val="00F35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AB"/>
    <w:pPr>
      <w:ind w:left="720"/>
      <w:contextualSpacing/>
    </w:pPr>
  </w:style>
  <w:style w:type="table" w:styleId="TableGrid">
    <w:name w:val="Table Grid"/>
    <w:basedOn w:val="TableNormal"/>
    <w:uiPriority w:val="39"/>
    <w:rsid w:val="00FB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2B"/>
    <w:rPr>
      <w:rFonts w:ascii="Segoe UI" w:hAnsi="Segoe UI" w:cs="Segoe UI"/>
      <w:sz w:val="18"/>
      <w:szCs w:val="18"/>
    </w:rPr>
  </w:style>
  <w:style w:type="paragraph" w:styleId="FootnoteText">
    <w:name w:val="footnote text"/>
    <w:aliases w:val="Footnote Text Char1,Footnote Text Char Char,Footnote Char Char,Fußnote Char Char,Footnote Text Char Rakstz. Rakstz. Char Char,Footnote Text Char Rakstz. Char Char Char Char Char,single space Char Char,footnote text Char Char,Footnote Char"/>
    <w:basedOn w:val="Normal"/>
    <w:link w:val="FootnoteTextChar"/>
    <w:uiPriority w:val="99"/>
    <w:unhideWhenUsed/>
    <w:qFormat/>
    <w:rsid w:val="006E01B7"/>
    <w:pPr>
      <w:spacing w:after="0" w:line="240" w:lineRule="auto"/>
    </w:pPr>
    <w:rPr>
      <w:sz w:val="20"/>
      <w:szCs w:val="20"/>
    </w:rPr>
  </w:style>
  <w:style w:type="character" w:customStyle="1" w:styleId="FootnoteTextChar">
    <w:name w:val="Footnote Text Char"/>
    <w:aliases w:val="Footnote Text Char1 Char,Footnote Text Char Char Char,Footnote Char Char Char,Fußnote Char Char Char,Footnote Text Char Rakstz. Rakstz. Char Char Char,Footnote Text Char Rakstz. Char Char Char Char Char Char,Footnote Char Char1"/>
    <w:basedOn w:val="DefaultParagraphFont"/>
    <w:link w:val="FootnoteText"/>
    <w:uiPriority w:val="99"/>
    <w:rsid w:val="006E01B7"/>
    <w:rPr>
      <w:sz w:val="20"/>
      <w:szCs w:val="20"/>
    </w:rPr>
  </w:style>
  <w:style w:type="character" w:styleId="FootnoteReference">
    <w:name w:val="footnote reference"/>
    <w:aliases w:val="Footnote Reference Number,Footnote symbol,Footnote Reference Superscript,BVI fnr, BVI fnr,Footnote reference number,number,note TESI,SUPERS,EN Footnote Reference,Times 10 Point,Exposant 3 Point, Exposant 3 Point,ftref,fr,Ref"/>
    <w:basedOn w:val="DefaultParagraphFont"/>
    <w:link w:val="Char2"/>
    <w:uiPriority w:val="99"/>
    <w:unhideWhenUsed/>
    <w:qFormat/>
    <w:rsid w:val="006E01B7"/>
    <w:rPr>
      <w:vertAlign w:val="superscript"/>
    </w:rPr>
  </w:style>
  <w:style w:type="character" w:styleId="CommentReference">
    <w:name w:val="annotation reference"/>
    <w:basedOn w:val="DefaultParagraphFont"/>
    <w:uiPriority w:val="99"/>
    <w:semiHidden/>
    <w:unhideWhenUsed/>
    <w:rsid w:val="004768C2"/>
    <w:rPr>
      <w:sz w:val="16"/>
      <w:szCs w:val="16"/>
    </w:rPr>
  </w:style>
  <w:style w:type="paragraph" w:styleId="CommentText">
    <w:name w:val="annotation text"/>
    <w:basedOn w:val="Normal"/>
    <w:link w:val="CommentTextChar"/>
    <w:uiPriority w:val="99"/>
    <w:semiHidden/>
    <w:unhideWhenUsed/>
    <w:rsid w:val="004768C2"/>
    <w:pPr>
      <w:spacing w:line="240" w:lineRule="auto"/>
    </w:pPr>
    <w:rPr>
      <w:sz w:val="20"/>
      <w:szCs w:val="20"/>
    </w:rPr>
  </w:style>
  <w:style w:type="character" w:customStyle="1" w:styleId="CommentTextChar">
    <w:name w:val="Comment Text Char"/>
    <w:basedOn w:val="DefaultParagraphFont"/>
    <w:link w:val="CommentText"/>
    <w:uiPriority w:val="99"/>
    <w:semiHidden/>
    <w:rsid w:val="004768C2"/>
    <w:rPr>
      <w:sz w:val="20"/>
      <w:szCs w:val="20"/>
    </w:rPr>
  </w:style>
  <w:style w:type="paragraph" w:styleId="CommentSubject">
    <w:name w:val="annotation subject"/>
    <w:basedOn w:val="CommentText"/>
    <w:next w:val="CommentText"/>
    <w:link w:val="CommentSubjectChar"/>
    <w:uiPriority w:val="99"/>
    <w:semiHidden/>
    <w:unhideWhenUsed/>
    <w:rsid w:val="004768C2"/>
    <w:rPr>
      <w:b/>
      <w:bCs/>
    </w:rPr>
  </w:style>
  <w:style w:type="character" w:customStyle="1" w:styleId="CommentSubjectChar">
    <w:name w:val="Comment Subject Char"/>
    <w:basedOn w:val="CommentTextChar"/>
    <w:link w:val="CommentSubject"/>
    <w:uiPriority w:val="99"/>
    <w:semiHidden/>
    <w:rsid w:val="004768C2"/>
    <w:rPr>
      <w:b/>
      <w:bCs/>
      <w:sz w:val="20"/>
      <w:szCs w:val="20"/>
    </w:rPr>
  </w:style>
  <w:style w:type="paragraph" w:styleId="Header">
    <w:name w:val="header"/>
    <w:basedOn w:val="Normal"/>
    <w:link w:val="HeaderChar"/>
    <w:uiPriority w:val="99"/>
    <w:unhideWhenUsed/>
    <w:rsid w:val="00EC20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20BF"/>
  </w:style>
  <w:style w:type="paragraph" w:styleId="Footer">
    <w:name w:val="footer"/>
    <w:basedOn w:val="Normal"/>
    <w:link w:val="FooterChar"/>
    <w:uiPriority w:val="99"/>
    <w:unhideWhenUsed/>
    <w:rsid w:val="00EC20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20BF"/>
  </w:style>
  <w:style w:type="character" w:customStyle="1" w:styleId="Heading1Char">
    <w:name w:val="Heading 1 Char"/>
    <w:basedOn w:val="DefaultParagraphFont"/>
    <w:link w:val="Heading1"/>
    <w:uiPriority w:val="9"/>
    <w:rsid w:val="00A22146"/>
    <w:rPr>
      <w:rFonts w:ascii="Times New Roman" w:hAnsi="Times New Roman" w:cs="Times New Roman"/>
      <w:b/>
      <w:sz w:val="28"/>
    </w:rPr>
  </w:style>
  <w:style w:type="paragraph" w:styleId="NormalWeb">
    <w:name w:val="Normal (Web)"/>
    <w:basedOn w:val="Normal"/>
    <w:uiPriority w:val="99"/>
    <w:semiHidden/>
    <w:unhideWhenUsed/>
    <w:rsid w:val="00587322"/>
    <w:rPr>
      <w:rFonts w:ascii="Times New Roman" w:hAnsi="Times New Roman" w:cs="Times New Roman"/>
      <w:sz w:val="24"/>
      <w:szCs w:val="24"/>
    </w:rPr>
  </w:style>
  <w:style w:type="paragraph" w:styleId="BodyText">
    <w:name w:val="Body Text"/>
    <w:basedOn w:val="Normal"/>
    <w:link w:val="BodyTextChar"/>
    <w:rsid w:val="00C437EA"/>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C437EA"/>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94EB8"/>
    <w:rPr>
      <w:color w:val="0000FF"/>
      <w:u w:val="single"/>
    </w:rPr>
  </w:style>
  <w:style w:type="paragraph" w:customStyle="1" w:styleId="naisf">
    <w:name w:val="naisf"/>
    <w:basedOn w:val="Normal"/>
    <w:link w:val="naisfCharChar"/>
    <w:rsid w:val="000607AF"/>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naisfCharChar">
    <w:name w:val="naisf Char Char"/>
    <w:link w:val="naisf"/>
    <w:rsid w:val="000607AF"/>
    <w:rPr>
      <w:rFonts w:ascii="Times New Roman" w:eastAsia="Times New Roman" w:hAnsi="Times New Roman" w:cs="Times New Roman"/>
      <w:sz w:val="24"/>
      <w:szCs w:val="24"/>
      <w:lang w:eastAsia="lv-LV"/>
    </w:rPr>
  </w:style>
  <w:style w:type="paragraph" w:customStyle="1" w:styleId="Char2">
    <w:name w:val="Char2"/>
    <w:aliases w:val="Char Char Char Char"/>
    <w:basedOn w:val="Normal"/>
    <w:next w:val="Normal"/>
    <w:link w:val="FootnoteReference"/>
    <w:uiPriority w:val="99"/>
    <w:rsid w:val="000607AF"/>
    <w:pPr>
      <w:spacing w:line="240" w:lineRule="exact"/>
      <w:jc w:val="both"/>
      <w:textAlignment w:val="baseline"/>
    </w:pPr>
    <w:rPr>
      <w:vertAlign w:val="superscript"/>
    </w:rPr>
  </w:style>
  <w:style w:type="paragraph" w:styleId="NoSpacing">
    <w:name w:val="No Spacing"/>
    <w:link w:val="NoSpacingChar"/>
    <w:uiPriority w:val="1"/>
    <w:qFormat/>
    <w:rsid w:val="00D60A77"/>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60A77"/>
    <w:rPr>
      <w:rFonts w:eastAsiaTheme="minorEastAsia"/>
      <w:sz w:val="20"/>
      <w:szCs w:val="20"/>
    </w:rPr>
  </w:style>
  <w:style w:type="character" w:customStyle="1" w:styleId="Heading2Char">
    <w:name w:val="Heading 2 Char"/>
    <w:basedOn w:val="DefaultParagraphFont"/>
    <w:link w:val="Heading2"/>
    <w:uiPriority w:val="9"/>
    <w:semiHidden/>
    <w:rsid w:val="00F35CF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31F10"/>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31F10"/>
    <w:pPr>
      <w:spacing w:after="100"/>
    </w:pPr>
  </w:style>
  <w:style w:type="paragraph" w:styleId="TOC2">
    <w:name w:val="toc 2"/>
    <w:basedOn w:val="Normal"/>
    <w:next w:val="Normal"/>
    <w:autoRedefine/>
    <w:uiPriority w:val="39"/>
    <w:unhideWhenUsed/>
    <w:rsid w:val="00631F10"/>
    <w:pPr>
      <w:spacing w:after="100"/>
      <w:ind w:left="220"/>
    </w:pPr>
  </w:style>
  <w:style w:type="table" w:styleId="GridTable2-Accent5">
    <w:name w:val="Grid Table 2 Accent 5"/>
    <w:basedOn w:val="TableNormal"/>
    <w:uiPriority w:val="47"/>
    <w:rsid w:val="002F0A4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2F0A4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100F8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7534C7"/>
    <w:pPr>
      <w:spacing w:after="0" w:line="240" w:lineRule="auto"/>
    </w:pPr>
    <w:tblPr>
      <w:tblStyleRowBandSize w:val="1"/>
      <w:tblStyleColBandSize w:val="1"/>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689">
      <w:bodyDiv w:val="1"/>
      <w:marLeft w:val="0"/>
      <w:marRight w:val="0"/>
      <w:marTop w:val="0"/>
      <w:marBottom w:val="0"/>
      <w:divBdr>
        <w:top w:val="none" w:sz="0" w:space="0" w:color="auto"/>
        <w:left w:val="none" w:sz="0" w:space="0" w:color="auto"/>
        <w:bottom w:val="none" w:sz="0" w:space="0" w:color="auto"/>
        <w:right w:val="none" w:sz="0" w:space="0" w:color="auto"/>
      </w:divBdr>
    </w:div>
    <w:div w:id="62795914">
      <w:bodyDiv w:val="1"/>
      <w:marLeft w:val="0"/>
      <w:marRight w:val="0"/>
      <w:marTop w:val="0"/>
      <w:marBottom w:val="0"/>
      <w:divBdr>
        <w:top w:val="none" w:sz="0" w:space="0" w:color="auto"/>
        <w:left w:val="none" w:sz="0" w:space="0" w:color="auto"/>
        <w:bottom w:val="none" w:sz="0" w:space="0" w:color="auto"/>
        <w:right w:val="none" w:sz="0" w:space="0" w:color="auto"/>
      </w:divBdr>
      <w:divsChild>
        <w:div w:id="1611157716">
          <w:marLeft w:val="150"/>
          <w:marRight w:val="150"/>
          <w:marTop w:val="480"/>
          <w:marBottom w:val="0"/>
          <w:divBdr>
            <w:top w:val="none" w:sz="0" w:space="0" w:color="auto"/>
            <w:left w:val="none" w:sz="0" w:space="0" w:color="auto"/>
            <w:bottom w:val="none" w:sz="0" w:space="0" w:color="auto"/>
            <w:right w:val="none" w:sz="0" w:space="0" w:color="auto"/>
          </w:divBdr>
        </w:div>
      </w:divsChild>
    </w:div>
    <w:div w:id="232859704">
      <w:bodyDiv w:val="1"/>
      <w:marLeft w:val="0"/>
      <w:marRight w:val="0"/>
      <w:marTop w:val="0"/>
      <w:marBottom w:val="0"/>
      <w:divBdr>
        <w:top w:val="none" w:sz="0" w:space="0" w:color="auto"/>
        <w:left w:val="none" w:sz="0" w:space="0" w:color="auto"/>
        <w:bottom w:val="none" w:sz="0" w:space="0" w:color="auto"/>
        <w:right w:val="none" w:sz="0" w:space="0" w:color="auto"/>
      </w:divBdr>
    </w:div>
    <w:div w:id="299042397">
      <w:bodyDiv w:val="1"/>
      <w:marLeft w:val="0"/>
      <w:marRight w:val="0"/>
      <w:marTop w:val="0"/>
      <w:marBottom w:val="0"/>
      <w:divBdr>
        <w:top w:val="none" w:sz="0" w:space="0" w:color="auto"/>
        <w:left w:val="none" w:sz="0" w:space="0" w:color="auto"/>
        <w:bottom w:val="none" w:sz="0" w:space="0" w:color="auto"/>
        <w:right w:val="none" w:sz="0" w:space="0" w:color="auto"/>
      </w:divBdr>
    </w:div>
    <w:div w:id="368602910">
      <w:bodyDiv w:val="1"/>
      <w:marLeft w:val="0"/>
      <w:marRight w:val="0"/>
      <w:marTop w:val="0"/>
      <w:marBottom w:val="0"/>
      <w:divBdr>
        <w:top w:val="none" w:sz="0" w:space="0" w:color="auto"/>
        <w:left w:val="none" w:sz="0" w:space="0" w:color="auto"/>
        <w:bottom w:val="none" w:sz="0" w:space="0" w:color="auto"/>
        <w:right w:val="none" w:sz="0" w:space="0" w:color="auto"/>
      </w:divBdr>
    </w:div>
    <w:div w:id="369847010">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428047148">
      <w:bodyDiv w:val="1"/>
      <w:marLeft w:val="0"/>
      <w:marRight w:val="0"/>
      <w:marTop w:val="0"/>
      <w:marBottom w:val="0"/>
      <w:divBdr>
        <w:top w:val="none" w:sz="0" w:space="0" w:color="auto"/>
        <w:left w:val="none" w:sz="0" w:space="0" w:color="auto"/>
        <w:bottom w:val="none" w:sz="0" w:space="0" w:color="auto"/>
        <w:right w:val="none" w:sz="0" w:space="0" w:color="auto"/>
      </w:divBdr>
    </w:div>
    <w:div w:id="503084126">
      <w:bodyDiv w:val="1"/>
      <w:marLeft w:val="0"/>
      <w:marRight w:val="0"/>
      <w:marTop w:val="0"/>
      <w:marBottom w:val="0"/>
      <w:divBdr>
        <w:top w:val="none" w:sz="0" w:space="0" w:color="auto"/>
        <w:left w:val="none" w:sz="0" w:space="0" w:color="auto"/>
        <w:bottom w:val="none" w:sz="0" w:space="0" w:color="auto"/>
        <w:right w:val="none" w:sz="0" w:space="0" w:color="auto"/>
      </w:divBdr>
    </w:div>
    <w:div w:id="727385556">
      <w:bodyDiv w:val="1"/>
      <w:marLeft w:val="0"/>
      <w:marRight w:val="0"/>
      <w:marTop w:val="0"/>
      <w:marBottom w:val="0"/>
      <w:divBdr>
        <w:top w:val="none" w:sz="0" w:space="0" w:color="auto"/>
        <w:left w:val="none" w:sz="0" w:space="0" w:color="auto"/>
        <w:bottom w:val="none" w:sz="0" w:space="0" w:color="auto"/>
        <w:right w:val="none" w:sz="0" w:space="0" w:color="auto"/>
      </w:divBdr>
    </w:div>
    <w:div w:id="947664943">
      <w:bodyDiv w:val="1"/>
      <w:marLeft w:val="0"/>
      <w:marRight w:val="0"/>
      <w:marTop w:val="0"/>
      <w:marBottom w:val="0"/>
      <w:divBdr>
        <w:top w:val="none" w:sz="0" w:space="0" w:color="auto"/>
        <w:left w:val="none" w:sz="0" w:space="0" w:color="auto"/>
        <w:bottom w:val="none" w:sz="0" w:space="0" w:color="auto"/>
        <w:right w:val="none" w:sz="0" w:space="0" w:color="auto"/>
      </w:divBdr>
    </w:div>
    <w:div w:id="1279600979">
      <w:bodyDiv w:val="1"/>
      <w:marLeft w:val="0"/>
      <w:marRight w:val="0"/>
      <w:marTop w:val="0"/>
      <w:marBottom w:val="0"/>
      <w:divBdr>
        <w:top w:val="none" w:sz="0" w:space="0" w:color="auto"/>
        <w:left w:val="none" w:sz="0" w:space="0" w:color="auto"/>
        <w:bottom w:val="none" w:sz="0" w:space="0" w:color="auto"/>
        <w:right w:val="none" w:sz="0" w:space="0" w:color="auto"/>
      </w:divBdr>
    </w:div>
    <w:div w:id="1431469059">
      <w:bodyDiv w:val="1"/>
      <w:marLeft w:val="0"/>
      <w:marRight w:val="0"/>
      <w:marTop w:val="0"/>
      <w:marBottom w:val="0"/>
      <w:divBdr>
        <w:top w:val="none" w:sz="0" w:space="0" w:color="auto"/>
        <w:left w:val="none" w:sz="0" w:space="0" w:color="auto"/>
        <w:bottom w:val="none" w:sz="0" w:space="0" w:color="auto"/>
        <w:right w:val="none" w:sz="0" w:space="0" w:color="auto"/>
      </w:divBdr>
    </w:div>
    <w:div w:id="1477720404">
      <w:bodyDiv w:val="1"/>
      <w:marLeft w:val="0"/>
      <w:marRight w:val="0"/>
      <w:marTop w:val="0"/>
      <w:marBottom w:val="0"/>
      <w:divBdr>
        <w:top w:val="none" w:sz="0" w:space="0" w:color="auto"/>
        <w:left w:val="none" w:sz="0" w:space="0" w:color="auto"/>
        <w:bottom w:val="none" w:sz="0" w:space="0" w:color="auto"/>
        <w:right w:val="none" w:sz="0" w:space="0" w:color="auto"/>
      </w:divBdr>
    </w:div>
    <w:div w:id="1485509704">
      <w:bodyDiv w:val="1"/>
      <w:marLeft w:val="0"/>
      <w:marRight w:val="0"/>
      <w:marTop w:val="0"/>
      <w:marBottom w:val="0"/>
      <w:divBdr>
        <w:top w:val="none" w:sz="0" w:space="0" w:color="auto"/>
        <w:left w:val="none" w:sz="0" w:space="0" w:color="auto"/>
        <w:bottom w:val="none" w:sz="0" w:space="0" w:color="auto"/>
        <w:right w:val="none" w:sz="0" w:space="0" w:color="auto"/>
      </w:divBdr>
    </w:div>
    <w:div w:id="1884902804">
      <w:bodyDiv w:val="1"/>
      <w:marLeft w:val="0"/>
      <w:marRight w:val="0"/>
      <w:marTop w:val="0"/>
      <w:marBottom w:val="0"/>
      <w:divBdr>
        <w:top w:val="none" w:sz="0" w:space="0" w:color="auto"/>
        <w:left w:val="none" w:sz="0" w:space="0" w:color="auto"/>
        <w:bottom w:val="none" w:sz="0" w:space="0" w:color="auto"/>
        <w:right w:val="none" w:sz="0" w:space="0" w:color="auto"/>
      </w:divBdr>
    </w:div>
    <w:div w:id="1952010102">
      <w:bodyDiv w:val="1"/>
      <w:marLeft w:val="0"/>
      <w:marRight w:val="0"/>
      <w:marTop w:val="0"/>
      <w:marBottom w:val="0"/>
      <w:divBdr>
        <w:top w:val="none" w:sz="0" w:space="0" w:color="auto"/>
        <w:left w:val="none" w:sz="0" w:space="0" w:color="auto"/>
        <w:bottom w:val="none" w:sz="0" w:space="0" w:color="auto"/>
        <w:right w:val="none" w:sz="0" w:space="0" w:color="auto"/>
      </w:divBdr>
    </w:div>
    <w:div w:id="1965890887">
      <w:bodyDiv w:val="1"/>
      <w:marLeft w:val="0"/>
      <w:marRight w:val="0"/>
      <w:marTop w:val="0"/>
      <w:marBottom w:val="0"/>
      <w:divBdr>
        <w:top w:val="none" w:sz="0" w:space="0" w:color="auto"/>
        <w:left w:val="none" w:sz="0" w:space="0" w:color="auto"/>
        <w:bottom w:val="none" w:sz="0" w:space="0" w:color="auto"/>
        <w:right w:val="none" w:sz="0" w:space="0" w:color="auto"/>
      </w:divBdr>
    </w:div>
    <w:div w:id="1996062044">
      <w:bodyDiv w:val="1"/>
      <w:marLeft w:val="0"/>
      <w:marRight w:val="0"/>
      <w:marTop w:val="0"/>
      <w:marBottom w:val="0"/>
      <w:divBdr>
        <w:top w:val="none" w:sz="0" w:space="0" w:color="auto"/>
        <w:left w:val="none" w:sz="0" w:space="0" w:color="auto"/>
        <w:bottom w:val="none" w:sz="0" w:space="0" w:color="auto"/>
        <w:right w:val="none" w:sz="0" w:space="0" w:color="auto"/>
      </w:divBdr>
    </w:div>
    <w:div w:id="2019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wwwraksti/2017/228/BILDES/N662_P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7BC3-F7C8-4549-83DB-3404620C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12304</Words>
  <Characters>7014</Characters>
  <Application>Microsoft Office Word</Application>
  <DocSecurity>4</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Iekšlietu ministrijas stratēģija 2023.-2027. gadam</dc:subject>
  <dc:creator>Rihards Šteins</dc:creator>
  <cp:keywords/>
  <dc:description/>
  <cp:lastModifiedBy>Gunita Kogane</cp:lastModifiedBy>
  <cp:revision>2</cp:revision>
  <cp:lastPrinted>2023-02-13T08:41:00Z</cp:lastPrinted>
  <dcterms:created xsi:type="dcterms:W3CDTF">2025-04-24T07:57:00Z</dcterms:created>
  <dcterms:modified xsi:type="dcterms:W3CDTF">2025-04-24T07:57:00Z</dcterms:modified>
</cp:coreProperties>
</file>